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963D4" w14:textId="77777777" w:rsidR="001F4416" w:rsidRDefault="004032C9" w:rsidP="004032C9">
      <w:pPr>
        <w:jc w:val="center"/>
        <w:rPr>
          <w:rFonts w:ascii="Times New Roman" w:hAnsi="Times New Roman" w:cs="Times New Roman"/>
          <w:b/>
          <w:sz w:val="32"/>
        </w:rPr>
      </w:pPr>
      <w:r>
        <w:rPr>
          <w:rFonts w:ascii="Times New Roman" w:hAnsi="Times New Roman" w:cs="Times New Roman"/>
          <w:b/>
          <w:sz w:val="32"/>
        </w:rPr>
        <w:t>Informacja</w:t>
      </w:r>
      <w:r w:rsidRPr="004032C9">
        <w:rPr>
          <w:rFonts w:ascii="Times New Roman" w:hAnsi="Times New Roman" w:cs="Times New Roman"/>
          <w:b/>
          <w:sz w:val="32"/>
        </w:rPr>
        <w:t xml:space="preserve"> o charakte</w:t>
      </w:r>
      <w:r>
        <w:rPr>
          <w:rFonts w:ascii="Times New Roman" w:hAnsi="Times New Roman" w:cs="Times New Roman"/>
          <w:b/>
          <w:sz w:val="32"/>
        </w:rPr>
        <w:t xml:space="preserve">rze ilościowym i jakościowym dotyczącym adekwatności kapitałowej </w:t>
      </w:r>
      <w:r w:rsidR="0044318F">
        <w:rPr>
          <w:rFonts w:ascii="Times New Roman" w:hAnsi="Times New Roman" w:cs="Times New Roman"/>
          <w:b/>
          <w:sz w:val="32"/>
        </w:rPr>
        <w:t>podlegająca</w:t>
      </w:r>
      <w:r>
        <w:rPr>
          <w:rFonts w:ascii="Times New Roman" w:hAnsi="Times New Roman" w:cs="Times New Roman"/>
          <w:b/>
          <w:sz w:val="32"/>
        </w:rPr>
        <w:t xml:space="preserve"> ogłoszeniu</w:t>
      </w:r>
      <w:r w:rsidRPr="004032C9">
        <w:rPr>
          <w:rFonts w:ascii="Times New Roman" w:hAnsi="Times New Roman" w:cs="Times New Roman"/>
          <w:b/>
          <w:sz w:val="32"/>
        </w:rPr>
        <w:t>.</w:t>
      </w:r>
    </w:p>
    <w:p w14:paraId="51E7A2F7" w14:textId="3220716E" w:rsidR="004032C9" w:rsidRDefault="004032C9" w:rsidP="004032C9">
      <w:pPr>
        <w:jc w:val="center"/>
        <w:rPr>
          <w:rFonts w:ascii="Times New Roman" w:hAnsi="Times New Roman" w:cs="Times New Roman"/>
          <w:b/>
          <w:sz w:val="32"/>
        </w:rPr>
      </w:pPr>
    </w:p>
    <w:p w14:paraId="21AC4F65" w14:textId="5F372C29" w:rsidR="0091601A" w:rsidRPr="003039F6" w:rsidRDefault="0091601A" w:rsidP="0091601A">
      <w:pPr>
        <w:jc w:val="both"/>
        <w:rPr>
          <w:rFonts w:ascii="Times New Roman" w:hAnsi="Times New Roman" w:cs="Times New Roman"/>
        </w:rPr>
      </w:pPr>
      <w:r w:rsidRPr="003039F6">
        <w:rPr>
          <w:rFonts w:ascii="Times New Roman" w:hAnsi="Times New Roman" w:cs="Times New Roman"/>
        </w:rPr>
        <w:t>Niniejszy dokument stanowi wykonanie postanowień  Rozporządzenia Parlamentu Europejskiego (UE) nr 575/2013 z dnia 26 czerwca 2013r. w sprawie wymogów ostrożnościowych dla instytucji kredytowych i firm inwestycyjnych (zwanego dalej „Rozporządzeniem”) oraz Polityki informacyjnej Banku Spółdzielczego w Podegrodziu.</w:t>
      </w:r>
    </w:p>
    <w:p w14:paraId="44D2605A" w14:textId="77777777" w:rsidR="0091601A" w:rsidRPr="003039F6" w:rsidRDefault="0091601A" w:rsidP="0091601A">
      <w:pPr>
        <w:rPr>
          <w:rFonts w:ascii="Times New Roman" w:hAnsi="Times New Roman" w:cs="Times New Roman"/>
        </w:rPr>
      </w:pPr>
      <w:r w:rsidRPr="003039F6">
        <w:rPr>
          <w:rFonts w:ascii="Times New Roman" w:hAnsi="Times New Roman" w:cs="Times New Roman"/>
        </w:rPr>
        <w:t>Bank dokonuje ujawnienia informacji o charakterze jakościowym i ilościowym dotyczącym profilu ryzyka Banku, funduszy własnych, wymogów kapitałowych, polityki w zakresie wynagrodzeń oraz innych informacji zawartych w niniejszym dokumencie zwanym dalej „Informacja o charakterze jakościowym i ilościowym dotyczącym adekwatności kapitałowej podlegająca ogłoszeniu”</w:t>
      </w:r>
    </w:p>
    <w:p w14:paraId="19FCBFB4" w14:textId="77777777" w:rsidR="0091601A" w:rsidRPr="003039F6" w:rsidRDefault="0091601A" w:rsidP="0091601A">
      <w:pPr>
        <w:rPr>
          <w:rFonts w:ascii="Times New Roman" w:hAnsi="Times New Roman" w:cs="Times New Roman"/>
        </w:rPr>
      </w:pPr>
      <w:r w:rsidRPr="003039F6">
        <w:rPr>
          <w:rFonts w:ascii="Times New Roman" w:hAnsi="Times New Roman" w:cs="Times New Roman"/>
        </w:rPr>
        <w:t>Wszelkie dane liczbowe zostały ujęte w tysiącach złotych.</w:t>
      </w:r>
    </w:p>
    <w:p w14:paraId="2D5B8BD6" w14:textId="77777777" w:rsidR="003039F6" w:rsidRPr="003039F6" w:rsidRDefault="0091601A" w:rsidP="0091601A">
      <w:pPr>
        <w:rPr>
          <w:rFonts w:ascii="Times New Roman" w:hAnsi="Times New Roman" w:cs="Times New Roman"/>
        </w:rPr>
      </w:pPr>
      <w:r w:rsidRPr="003039F6">
        <w:rPr>
          <w:rFonts w:ascii="Times New Roman" w:hAnsi="Times New Roman" w:cs="Times New Roman"/>
        </w:rPr>
        <w:t xml:space="preserve">Bank w zakresie ujawniania informacji nie uznał informacji za nieistotne, zastrzeżone lub poufne, </w:t>
      </w:r>
      <w:r w:rsidR="003039F6" w:rsidRPr="003039F6">
        <w:rPr>
          <w:rFonts w:ascii="Times New Roman" w:hAnsi="Times New Roman" w:cs="Times New Roman"/>
        </w:rPr>
        <w:t>od ujawniania by odstąpił.</w:t>
      </w:r>
    </w:p>
    <w:p w14:paraId="62A600A7" w14:textId="2749AA36" w:rsidR="0091601A" w:rsidRPr="003039F6" w:rsidRDefault="003039F6" w:rsidP="00610104">
      <w:pPr>
        <w:tabs>
          <w:tab w:val="left" w:pos="1418"/>
        </w:tabs>
        <w:rPr>
          <w:rFonts w:ascii="Times New Roman" w:hAnsi="Times New Roman" w:cs="Times New Roman"/>
        </w:rPr>
      </w:pPr>
      <w:r w:rsidRPr="003039F6">
        <w:rPr>
          <w:rFonts w:ascii="Times New Roman" w:hAnsi="Times New Roman" w:cs="Times New Roman"/>
        </w:rPr>
        <w:t>Niniejszy dokument dostępny jest w Centrali Banku w Podegrodziu, Podegrodzie 223 oraz na stronie internetowej www.bspodegrodzie.pl.</w:t>
      </w:r>
      <w:r w:rsidR="0091601A" w:rsidRPr="003039F6">
        <w:rPr>
          <w:rFonts w:ascii="Times New Roman" w:hAnsi="Times New Roman" w:cs="Times New Roman"/>
        </w:rPr>
        <w:t xml:space="preserve"> </w:t>
      </w:r>
    </w:p>
    <w:p w14:paraId="7C716386" w14:textId="24FE74C4" w:rsidR="004032C9" w:rsidRPr="003039F6" w:rsidRDefault="00AA788D" w:rsidP="009A6274">
      <w:pPr>
        <w:pStyle w:val="Akapitzlist"/>
        <w:numPr>
          <w:ilvl w:val="0"/>
          <w:numId w:val="31"/>
        </w:numPr>
        <w:jc w:val="center"/>
        <w:rPr>
          <w:rFonts w:ascii="Times New Roman" w:hAnsi="Times New Roman" w:cs="Times New Roman"/>
          <w:b/>
        </w:rPr>
      </w:pPr>
      <w:r w:rsidRPr="003039F6">
        <w:rPr>
          <w:rFonts w:ascii="Times New Roman" w:hAnsi="Times New Roman" w:cs="Times New Roman"/>
          <w:b/>
        </w:rPr>
        <w:t>INFORMACJE OGÓLNE</w:t>
      </w:r>
      <w:r w:rsidR="003039F6" w:rsidRPr="003039F6">
        <w:rPr>
          <w:rFonts w:ascii="Times New Roman" w:hAnsi="Times New Roman" w:cs="Times New Roman"/>
          <w:b/>
        </w:rPr>
        <w:t xml:space="preserve"> O BANKU</w:t>
      </w:r>
    </w:p>
    <w:p w14:paraId="6F979365" w14:textId="28A7E16F" w:rsidR="003039F6" w:rsidRDefault="003039F6" w:rsidP="009A6274">
      <w:pPr>
        <w:pStyle w:val="Akapitzlist"/>
        <w:numPr>
          <w:ilvl w:val="0"/>
          <w:numId w:val="32"/>
        </w:numPr>
        <w:ind w:left="426" w:hanging="426"/>
        <w:jc w:val="both"/>
        <w:rPr>
          <w:rFonts w:ascii="Times New Roman" w:hAnsi="Times New Roman" w:cs="Times New Roman"/>
        </w:rPr>
      </w:pPr>
      <w:r w:rsidRPr="00610104">
        <w:rPr>
          <w:rFonts w:ascii="Times New Roman" w:hAnsi="Times New Roman" w:cs="Times New Roman"/>
        </w:rPr>
        <w:t xml:space="preserve">Bank </w:t>
      </w:r>
      <w:r w:rsidR="00610104">
        <w:rPr>
          <w:rFonts w:ascii="Times New Roman" w:hAnsi="Times New Roman" w:cs="Times New Roman"/>
        </w:rPr>
        <w:t>Spółdzielczy działa pod nazwą Bank Spółdzielczy w Podegrodziu, ma siedzibę w Podegrodziu Podegrodzie 223, zarejestrowany w Rejestrze Przedsiębiorców Krajowego Rejestru Sądowego, prowadzonym przez Sąd Rejonowy dla Krakowa Śródmieścia w Krakowie, XII Wydział Gospodarczy Krajowego Rejestru Sądowego pod numerem KRS 0000103104, REGON 000499614, NIP 7340026775</w:t>
      </w:r>
    </w:p>
    <w:p w14:paraId="4B802681" w14:textId="66ECF29A" w:rsidR="00610104" w:rsidRDefault="00610104"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 xml:space="preserve">Bank funkcjonuje w ramach Zrzeszenia Banku BPS od 01.02.2017r. Bank funkcjonuje w ramach Systemu Ochrony Zrzeszenia BPS (IPS). Celem systemu jest zapewnienie płynności i wypłacalności każdego jego uczestnika. </w:t>
      </w:r>
      <w:r w:rsidR="00C34036">
        <w:rPr>
          <w:rFonts w:ascii="Times New Roman" w:hAnsi="Times New Roman" w:cs="Times New Roman"/>
        </w:rPr>
        <w:t>Przedmiotem działalności Systemu Ochrony Zrzeszenia jest także realizowanie</w:t>
      </w:r>
      <w:r w:rsidR="00E77211">
        <w:rPr>
          <w:rFonts w:ascii="Times New Roman" w:hAnsi="Times New Roman" w:cs="Times New Roman"/>
        </w:rPr>
        <w:t xml:space="preserve"> audytu wewnętrznego wobec członków oraz monitorowanie szacowanie i kontrola ryzyka działalności członków Spółdzielni</w:t>
      </w:r>
    </w:p>
    <w:p w14:paraId="2B23E50C" w14:textId="4B30FC03" w:rsidR="00E77211" w:rsidRDefault="00E77211"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Bank Spółdzielczy w Podegrodziu nie jest podmiotem dominującym ani podmiotem zależnym, Bank nie dokonuje konsolidacji do celów rachunkowości i regulacji ostrożnościowych.</w:t>
      </w:r>
    </w:p>
    <w:p w14:paraId="3140E239" w14:textId="51DC3291" w:rsidR="00E77211" w:rsidRDefault="00E77211"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Podstawa prawną prowadzonej działalności przez Bank są:</w:t>
      </w:r>
    </w:p>
    <w:p w14:paraId="078CBD9F" w14:textId="2ADF2DA9"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Ustawa z dnia 29 sierpnia 1997r. Prawo Bankowe (D</w:t>
      </w:r>
      <w:r w:rsidR="00F252FA">
        <w:rPr>
          <w:rFonts w:ascii="Times New Roman" w:hAnsi="Times New Roman" w:cs="Times New Roman"/>
        </w:rPr>
        <w:t>z.U. z 2017r. poz. 1876 z późn.</w:t>
      </w:r>
      <w:r>
        <w:rPr>
          <w:rFonts w:ascii="Times New Roman" w:hAnsi="Times New Roman" w:cs="Times New Roman"/>
        </w:rPr>
        <w:t>zm.);</w:t>
      </w:r>
    </w:p>
    <w:p w14:paraId="07864A2F" w14:textId="69E80E97"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Ustawa z dnia 16 września 1982r. Prawo Spółdzielcze (Dz.U. z 2017r. poz. 1560 z późn.zm);</w:t>
      </w:r>
    </w:p>
    <w:p w14:paraId="0684B2DE" w14:textId="4D54747B"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Ustawa z dnia 07 grudnia 2000r. o funkcjonowaniu banków spółdzielczych, ich zrzeszaniu się i bankach zrzeszających (Dz.U. z 2018r. poz.613);</w:t>
      </w:r>
    </w:p>
    <w:p w14:paraId="3C057E22" w14:textId="7B826B0E"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Zasady Ładu Korporacyjnego dla instytucji nadzorowanych wydanych Uchwałą nr 218/2014 Komisji Nadzoru Finansowego;</w:t>
      </w:r>
    </w:p>
    <w:p w14:paraId="5551F6B7" w14:textId="0CB34EFA"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Statut Banku Spółdzielczego w Podegrodziu</w:t>
      </w:r>
      <w:r w:rsidR="00FA4349">
        <w:rPr>
          <w:rFonts w:ascii="Times New Roman" w:hAnsi="Times New Roman" w:cs="Times New Roman"/>
        </w:rPr>
        <w:t>.</w:t>
      </w:r>
    </w:p>
    <w:p w14:paraId="46238A3F" w14:textId="5C7B690E" w:rsidR="00FA4349" w:rsidRDefault="00FA4349"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Organem zarządzającym Bankiem jest Zarząd Banku. Zarząd powołuje Rada Nadzorcza natomiast Rade Nadzorczą Zebranie Przedstawicieli Banku.</w:t>
      </w:r>
    </w:p>
    <w:p w14:paraId="057A1395" w14:textId="7646860C" w:rsidR="00FA4349" w:rsidRDefault="00FA4349" w:rsidP="009A6274">
      <w:pPr>
        <w:pStyle w:val="Akapitzlist"/>
        <w:numPr>
          <w:ilvl w:val="0"/>
          <w:numId w:val="34"/>
        </w:numPr>
        <w:ind w:left="1134" w:hanging="283"/>
        <w:jc w:val="both"/>
        <w:rPr>
          <w:rFonts w:ascii="Times New Roman" w:hAnsi="Times New Roman" w:cs="Times New Roman"/>
        </w:rPr>
      </w:pPr>
      <w:r>
        <w:rPr>
          <w:rFonts w:ascii="Times New Roman" w:hAnsi="Times New Roman" w:cs="Times New Roman"/>
        </w:rPr>
        <w:t>Skład Zarządu:</w:t>
      </w:r>
    </w:p>
    <w:p w14:paraId="0A916609" w14:textId="204CFEEE"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Magdalena Konstanty – Prezes Zarządu</w:t>
      </w:r>
    </w:p>
    <w:p w14:paraId="44DCA37D" w14:textId="20B36728"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Władysława Pawłowska – Członek Zarządu</w:t>
      </w:r>
    </w:p>
    <w:p w14:paraId="1D893729" w14:textId="71C5CB95"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Małgorzata Zygmunt – Członek Zarządu</w:t>
      </w:r>
    </w:p>
    <w:p w14:paraId="7BF50DA4" w14:textId="4E1A50CA" w:rsidR="00FA4349" w:rsidRDefault="00FA4349" w:rsidP="009A6274">
      <w:pPr>
        <w:pStyle w:val="Akapitzlist"/>
        <w:numPr>
          <w:ilvl w:val="0"/>
          <w:numId w:val="34"/>
        </w:numPr>
        <w:ind w:left="1134" w:hanging="283"/>
        <w:jc w:val="both"/>
        <w:rPr>
          <w:rFonts w:ascii="Times New Roman" w:hAnsi="Times New Roman" w:cs="Times New Roman"/>
        </w:rPr>
      </w:pPr>
      <w:r>
        <w:rPr>
          <w:rFonts w:ascii="Times New Roman" w:hAnsi="Times New Roman" w:cs="Times New Roman"/>
        </w:rPr>
        <w:t>Skład Rady Nadzorczej:</w:t>
      </w:r>
    </w:p>
    <w:p w14:paraId="629A2A80" w14:textId="74C192EF"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Bernadeta Konstanty – Przewodniczący</w:t>
      </w:r>
    </w:p>
    <w:p w14:paraId="7DF8333E" w14:textId="49AC00D2"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lastRenderedPageBreak/>
        <w:t>Grzegorz Słowik –</w:t>
      </w:r>
      <w:r w:rsidR="00F252FA">
        <w:rPr>
          <w:rFonts w:ascii="Times New Roman" w:hAnsi="Times New Roman" w:cs="Times New Roman"/>
        </w:rPr>
        <w:t xml:space="preserve"> Zastępca Przewodniczącego</w:t>
      </w:r>
    </w:p>
    <w:p w14:paraId="085369AC" w14:textId="589F1637"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 xml:space="preserve">Wiesława Pietrzak – </w:t>
      </w:r>
      <w:r w:rsidR="00F252FA">
        <w:rPr>
          <w:rFonts w:ascii="Times New Roman" w:hAnsi="Times New Roman" w:cs="Times New Roman"/>
        </w:rPr>
        <w:t>Sekretarz</w:t>
      </w:r>
    </w:p>
    <w:p w14:paraId="231A732F" w14:textId="54F29102" w:rsidR="00FA4349" w:rsidRPr="00FA4349" w:rsidRDefault="00FA4349" w:rsidP="00FA4349">
      <w:pPr>
        <w:pStyle w:val="Akapitzlist"/>
        <w:ind w:left="1134"/>
        <w:jc w:val="both"/>
        <w:rPr>
          <w:rFonts w:ascii="Times New Roman" w:hAnsi="Times New Roman" w:cs="Times New Roman"/>
        </w:rPr>
      </w:pPr>
      <w:r>
        <w:rPr>
          <w:rFonts w:ascii="Times New Roman" w:hAnsi="Times New Roman" w:cs="Times New Roman"/>
        </w:rPr>
        <w:t>Janina Morzywołek –</w:t>
      </w:r>
      <w:r w:rsidR="00F252FA">
        <w:rPr>
          <w:rFonts w:ascii="Times New Roman" w:hAnsi="Times New Roman" w:cs="Times New Roman"/>
        </w:rPr>
        <w:t xml:space="preserve"> Członek</w:t>
      </w:r>
    </w:p>
    <w:p w14:paraId="562879A2" w14:textId="12401CFA" w:rsidR="00FA4349" w:rsidRPr="00F252FA" w:rsidRDefault="00FA4349" w:rsidP="00F252FA">
      <w:pPr>
        <w:pStyle w:val="Akapitzlist"/>
        <w:ind w:left="1134"/>
        <w:jc w:val="both"/>
        <w:rPr>
          <w:rFonts w:ascii="Times New Roman" w:hAnsi="Times New Roman" w:cs="Times New Roman"/>
        </w:rPr>
      </w:pPr>
      <w:r>
        <w:rPr>
          <w:rFonts w:ascii="Times New Roman" w:hAnsi="Times New Roman" w:cs="Times New Roman"/>
        </w:rPr>
        <w:t xml:space="preserve">Maria Matiaszek – </w:t>
      </w:r>
      <w:r w:rsidR="00F252FA">
        <w:rPr>
          <w:rFonts w:ascii="Times New Roman" w:hAnsi="Times New Roman" w:cs="Times New Roman"/>
        </w:rPr>
        <w:t>Członek</w:t>
      </w:r>
    </w:p>
    <w:p w14:paraId="6DA57AD6" w14:textId="11AD228B" w:rsidR="00FA4349" w:rsidRPr="00F252FA" w:rsidRDefault="00FA4349" w:rsidP="00F252FA">
      <w:pPr>
        <w:pStyle w:val="Akapitzlist"/>
        <w:ind w:left="1134"/>
        <w:jc w:val="both"/>
        <w:rPr>
          <w:rFonts w:ascii="Times New Roman" w:hAnsi="Times New Roman" w:cs="Times New Roman"/>
        </w:rPr>
      </w:pPr>
      <w:r>
        <w:rPr>
          <w:rFonts w:ascii="Times New Roman" w:hAnsi="Times New Roman" w:cs="Times New Roman"/>
        </w:rPr>
        <w:t xml:space="preserve">Teodor Gargas – </w:t>
      </w:r>
      <w:r w:rsidR="00F252FA">
        <w:rPr>
          <w:rFonts w:ascii="Times New Roman" w:hAnsi="Times New Roman" w:cs="Times New Roman"/>
        </w:rPr>
        <w:t>Członek</w:t>
      </w:r>
    </w:p>
    <w:p w14:paraId="4AA88E6A" w14:textId="7897BB09" w:rsidR="00FA4349" w:rsidRPr="00F252FA" w:rsidRDefault="00FA4349" w:rsidP="00F252FA">
      <w:pPr>
        <w:pStyle w:val="Akapitzlist"/>
        <w:ind w:left="1134"/>
        <w:jc w:val="both"/>
        <w:rPr>
          <w:rFonts w:ascii="Times New Roman" w:hAnsi="Times New Roman" w:cs="Times New Roman"/>
        </w:rPr>
      </w:pPr>
      <w:r>
        <w:rPr>
          <w:rFonts w:ascii="Times New Roman" w:hAnsi="Times New Roman" w:cs="Times New Roman"/>
        </w:rPr>
        <w:t xml:space="preserve">Czesław Mordarski – </w:t>
      </w:r>
      <w:r w:rsidR="00F252FA">
        <w:rPr>
          <w:rFonts w:ascii="Times New Roman" w:hAnsi="Times New Roman" w:cs="Times New Roman"/>
        </w:rPr>
        <w:t>Członek</w:t>
      </w:r>
    </w:p>
    <w:p w14:paraId="3A1E2B75" w14:textId="3FE77DBB" w:rsidR="00FA4349" w:rsidRDefault="00FA4349"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Bank nie prowadzi działalności poza terytorium Rzeczpospolitej Polskiej. Terenem działania Banku zgodnie ze Statutem jest województwo małopolskie.</w:t>
      </w:r>
    </w:p>
    <w:p w14:paraId="2ECF54C3" w14:textId="0E94B8A1" w:rsidR="00BA6F2F" w:rsidRDefault="00FB6CE2"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W 2019</w:t>
      </w:r>
      <w:r w:rsidR="00BA6F2F">
        <w:rPr>
          <w:rFonts w:ascii="Times New Roman" w:hAnsi="Times New Roman" w:cs="Times New Roman"/>
        </w:rPr>
        <w:t>r. Bank Spółdzielczy w Podegrodziu prowadzi działalność w ramach struktury organizacyjnej, poprzez następującą sieć placówek:</w:t>
      </w:r>
    </w:p>
    <w:p w14:paraId="0B29B364" w14:textId="60035DE9" w:rsidR="00BA6F2F" w:rsidRDefault="00BA6F2F" w:rsidP="009A6274">
      <w:pPr>
        <w:pStyle w:val="Akapitzlist"/>
        <w:numPr>
          <w:ilvl w:val="0"/>
          <w:numId w:val="35"/>
        </w:numPr>
        <w:jc w:val="both"/>
        <w:rPr>
          <w:rFonts w:ascii="Times New Roman" w:hAnsi="Times New Roman" w:cs="Times New Roman"/>
        </w:rPr>
      </w:pPr>
      <w:r>
        <w:rPr>
          <w:rFonts w:ascii="Times New Roman" w:hAnsi="Times New Roman" w:cs="Times New Roman"/>
        </w:rPr>
        <w:t>Punkt Obsługi Klienta w Brzeznej;</w:t>
      </w:r>
    </w:p>
    <w:p w14:paraId="7C369978" w14:textId="273C0828" w:rsidR="00BA6F2F" w:rsidRDefault="00BA6F2F" w:rsidP="009A6274">
      <w:pPr>
        <w:pStyle w:val="Akapitzlist"/>
        <w:numPr>
          <w:ilvl w:val="0"/>
          <w:numId w:val="35"/>
        </w:numPr>
        <w:jc w:val="both"/>
        <w:rPr>
          <w:rFonts w:ascii="Times New Roman" w:hAnsi="Times New Roman" w:cs="Times New Roman"/>
        </w:rPr>
      </w:pPr>
      <w:r>
        <w:rPr>
          <w:rFonts w:ascii="Times New Roman" w:hAnsi="Times New Roman" w:cs="Times New Roman"/>
        </w:rPr>
        <w:t>Punkt Obsługi Klienta w Olszanie</w:t>
      </w:r>
    </w:p>
    <w:p w14:paraId="0EB05A90" w14:textId="11C49395" w:rsidR="00E77211" w:rsidRPr="00BA6F2F" w:rsidRDefault="00BA6F2F" w:rsidP="00BA6F2F">
      <w:pPr>
        <w:ind w:left="708"/>
        <w:jc w:val="both"/>
        <w:rPr>
          <w:rFonts w:ascii="Times New Roman" w:hAnsi="Times New Roman" w:cs="Times New Roman"/>
        </w:rPr>
      </w:pPr>
      <w:r>
        <w:rPr>
          <w:rFonts w:ascii="Times New Roman" w:hAnsi="Times New Roman" w:cs="Times New Roman"/>
        </w:rPr>
        <w:t>Działalność operacyjna prowadzona była również za pośrednictwem bankowości inte</w:t>
      </w:r>
      <w:r w:rsidR="007F380E">
        <w:rPr>
          <w:rFonts w:ascii="Times New Roman" w:hAnsi="Times New Roman" w:cs="Times New Roman"/>
        </w:rPr>
        <w:t>r</w:t>
      </w:r>
      <w:r>
        <w:rPr>
          <w:rFonts w:ascii="Times New Roman" w:hAnsi="Times New Roman" w:cs="Times New Roman"/>
        </w:rPr>
        <w:t>n</w:t>
      </w:r>
      <w:r w:rsidR="007F380E">
        <w:rPr>
          <w:rFonts w:ascii="Times New Roman" w:hAnsi="Times New Roman" w:cs="Times New Roman"/>
        </w:rPr>
        <w:t>e</w:t>
      </w:r>
      <w:r>
        <w:rPr>
          <w:rFonts w:ascii="Times New Roman" w:hAnsi="Times New Roman" w:cs="Times New Roman"/>
        </w:rPr>
        <w:t>towej.</w:t>
      </w:r>
      <w:r w:rsidR="00FA4349" w:rsidRPr="00BA6F2F">
        <w:rPr>
          <w:rFonts w:ascii="Times New Roman" w:hAnsi="Times New Roman" w:cs="Times New Roman"/>
        </w:rPr>
        <w:t xml:space="preserve"> </w:t>
      </w:r>
    </w:p>
    <w:p w14:paraId="2503F4BB" w14:textId="77777777" w:rsidR="0044318F" w:rsidRPr="00BA6F2F" w:rsidRDefault="0044318F" w:rsidP="009A6274">
      <w:pPr>
        <w:pStyle w:val="Akapitzlist"/>
        <w:numPr>
          <w:ilvl w:val="0"/>
          <w:numId w:val="32"/>
        </w:numPr>
        <w:ind w:left="426" w:hanging="426"/>
        <w:jc w:val="both"/>
        <w:rPr>
          <w:rFonts w:ascii="Times New Roman" w:hAnsi="Times New Roman" w:cs="Times New Roman"/>
        </w:rPr>
      </w:pPr>
      <w:r w:rsidRPr="00BA6F2F">
        <w:rPr>
          <w:rFonts w:ascii="Times New Roman" w:hAnsi="Times New Roman" w:cs="Times New Roman"/>
        </w:rPr>
        <w:t>Dane ogólne o Banku.</w:t>
      </w:r>
    </w:p>
    <w:tbl>
      <w:tblPr>
        <w:tblStyle w:val="Tabela-Siatka"/>
        <w:tblW w:w="9493" w:type="dxa"/>
        <w:tblLook w:val="04A0" w:firstRow="1" w:lastRow="0" w:firstColumn="1" w:lastColumn="0" w:noHBand="0" w:noVBand="1"/>
      </w:tblPr>
      <w:tblGrid>
        <w:gridCol w:w="4491"/>
        <w:gridCol w:w="1701"/>
        <w:gridCol w:w="1701"/>
        <w:gridCol w:w="1600"/>
      </w:tblGrid>
      <w:tr w:rsidR="00A97994" w:rsidRPr="00D46979" w14:paraId="2F62231F" w14:textId="77777777" w:rsidTr="003400E3">
        <w:tc>
          <w:tcPr>
            <w:tcW w:w="9493" w:type="dxa"/>
            <w:gridSpan w:val="4"/>
          </w:tcPr>
          <w:p w14:paraId="293D4A8F" w14:textId="77777777" w:rsidR="00A97994" w:rsidRPr="00D46979" w:rsidRDefault="00A97994" w:rsidP="00676F61">
            <w:pPr>
              <w:pStyle w:val="Akapitzlist"/>
              <w:ind w:left="0"/>
              <w:jc w:val="center"/>
              <w:rPr>
                <w:rFonts w:ascii="Times New Roman" w:hAnsi="Times New Roman" w:cs="Times New Roman"/>
                <w:b/>
                <w:sz w:val="20"/>
                <w:szCs w:val="20"/>
              </w:rPr>
            </w:pPr>
            <w:r w:rsidRPr="00D46979">
              <w:rPr>
                <w:rFonts w:ascii="Times New Roman" w:hAnsi="Times New Roman" w:cs="Times New Roman"/>
                <w:b/>
                <w:sz w:val="20"/>
                <w:szCs w:val="20"/>
              </w:rPr>
              <w:t>Podstawowe wskaźniki finansowe BS Podegrodzie (w tys. zł)</w:t>
            </w:r>
          </w:p>
        </w:tc>
      </w:tr>
      <w:tr w:rsidR="00FF7FD4" w:rsidRPr="00D46979" w14:paraId="57ABBA57" w14:textId="77777777" w:rsidTr="003400E3">
        <w:tc>
          <w:tcPr>
            <w:tcW w:w="4491" w:type="dxa"/>
          </w:tcPr>
          <w:p w14:paraId="62EA2790" w14:textId="77777777" w:rsidR="00FF7FD4" w:rsidRPr="00D46979" w:rsidRDefault="00FF7FD4" w:rsidP="00676F61">
            <w:pPr>
              <w:pStyle w:val="Akapitzlist"/>
              <w:ind w:left="0"/>
              <w:jc w:val="center"/>
              <w:rPr>
                <w:rFonts w:ascii="Times New Roman" w:hAnsi="Times New Roman" w:cs="Times New Roman"/>
                <w:b/>
                <w:i/>
                <w:sz w:val="20"/>
                <w:szCs w:val="20"/>
              </w:rPr>
            </w:pPr>
            <w:r w:rsidRPr="00D46979">
              <w:rPr>
                <w:rFonts w:ascii="Times New Roman" w:hAnsi="Times New Roman" w:cs="Times New Roman"/>
                <w:b/>
                <w:i/>
                <w:sz w:val="20"/>
                <w:szCs w:val="20"/>
              </w:rPr>
              <w:t xml:space="preserve">Wyszczególnienie </w:t>
            </w:r>
          </w:p>
        </w:tc>
        <w:tc>
          <w:tcPr>
            <w:tcW w:w="1701" w:type="dxa"/>
          </w:tcPr>
          <w:p w14:paraId="4BFCAE35" w14:textId="499C4BB4" w:rsidR="00FF7FD4" w:rsidRPr="00D46979" w:rsidRDefault="00AA7988" w:rsidP="00FF7FD4">
            <w:pPr>
              <w:pStyle w:val="Akapitzlist"/>
              <w:ind w:left="0"/>
              <w:jc w:val="center"/>
              <w:rPr>
                <w:rFonts w:ascii="Times New Roman" w:hAnsi="Times New Roman" w:cs="Times New Roman"/>
                <w:b/>
                <w:sz w:val="20"/>
                <w:szCs w:val="20"/>
              </w:rPr>
            </w:pPr>
            <w:r>
              <w:rPr>
                <w:rFonts w:ascii="Times New Roman" w:hAnsi="Times New Roman" w:cs="Times New Roman"/>
                <w:b/>
                <w:sz w:val="20"/>
                <w:szCs w:val="20"/>
              </w:rPr>
              <w:t>31-12-201</w:t>
            </w:r>
            <w:r w:rsidR="00FA26B8">
              <w:rPr>
                <w:rFonts w:ascii="Times New Roman" w:hAnsi="Times New Roman" w:cs="Times New Roman"/>
                <w:b/>
                <w:sz w:val="20"/>
                <w:szCs w:val="20"/>
              </w:rPr>
              <w:t>9</w:t>
            </w:r>
          </w:p>
        </w:tc>
        <w:tc>
          <w:tcPr>
            <w:tcW w:w="1701" w:type="dxa"/>
          </w:tcPr>
          <w:p w14:paraId="37B3FA80" w14:textId="06F50799" w:rsidR="00FF7FD4" w:rsidRPr="00D46979" w:rsidRDefault="00FF7FD4" w:rsidP="00E46C33">
            <w:pPr>
              <w:pStyle w:val="Akapitzlist"/>
              <w:ind w:left="0"/>
              <w:jc w:val="center"/>
              <w:rPr>
                <w:rFonts w:ascii="Times New Roman" w:hAnsi="Times New Roman" w:cs="Times New Roman"/>
                <w:b/>
                <w:sz w:val="20"/>
                <w:szCs w:val="20"/>
              </w:rPr>
            </w:pPr>
            <w:r>
              <w:rPr>
                <w:rFonts w:ascii="Times New Roman" w:hAnsi="Times New Roman" w:cs="Times New Roman"/>
                <w:b/>
                <w:sz w:val="20"/>
                <w:szCs w:val="20"/>
              </w:rPr>
              <w:t>31-12-201</w:t>
            </w:r>
            <w:r w:rsidR="00FA26B8">
              <w:rPr>
                <w:rFonts w:ascii="Times New Roman" w:hAnsi="Times New Roman" w:cs="Times New Roman"/>
                <w:b/>
                <w:sz w:val="20"/>
                <w:szCs w:val="20"/>
              </w:rPr>
              <w:t>8</w:t>
            </w:r>
          </w:p>
        </w:tc>
        <w:tc>
          <w:tcPr>
            <w:tcW w:w="1600" w:type="dxa"/>
          </w:tcPr>
          <w:p w14:paraId="0E9DD2C6" w14:textId="77777777" w:rsidR="00FF7FD4" w:rsidRPr="00D46979" w:rsidRDefault="00FF7FD4" w:rsidP="00676F61">
            <w:pPr>
              <w:pStyle w:val="Akapitzlist"/>
              <w:ind w:left="0"/>
              <w:jc w:val="center"/>
              <w:rPr>
                <w:rFonts w:ascii="Times New Roman" w:hAnsi="Times New Roman" w:cs="Times New Roman"/>
                <w:b/>
                <w:sz w:val="20"/>
                <w:szCs w:val="20"/>
              </w:rPr>
            </w:pPr>
            <w:r w:rsidRPr="00D46979">
              <w:rPr>
                <w:rFonts w:ascii="Times New Roman" w:hAnsi="Times New Roman" w:cs="Times New Roman"/>
                <w:b/>
                <w:sz w:val="20"/>
                <w:szCs w:val="20"/>
              </w:rPr>
              <w:t xml:space="preserve">Dynamika </w:t>
            </w:r>
          </w:p>
        </w:tc>
      </w:tr>
      <w:tr w:rsidR="00FA26B8" w:rsidRPr="00B02A89" w14:paraId="7CEDA507" w14:textId="77777777" w:rsidTr="003400E3">
        <w:tc>
          <w:tcPr>
            <w:tcW w:w="4491" w:type="dxa"/>
          </w:tcPr>
          <w:p w14:paraId="72186F39" w14:textId="77777777" w:rsidR="00FA26B8" w:rsidRPr="00D46979" w:rsidRDefault="00FA26B8" w:rsidP="00FA26B8">
            <w:pPr>
              <w:ind w:left="131"/>
              <w:rPr>
                <w:rFonts w:ascii="Times New Roman" w:hAnsi="Times New Roman" w:cs="Times New Roman"/>
                <w:sz w:val="20"/>
                <w:szCs w:val="20"/>
              </w:rPr>
            </w:pPr>
            <w:r w:rsidRPr="00D46979">
              <w:rPr>
                <w:rFonts w:ascii="Times New Roman" w:hAnsi="Times New Roman" w:cs="Times New Roman"/>
                <w:sz w:val="20"/>
                <w:szCs w:val="20"/>
              </w:rPr>
              <w:t>Suma bilansowa</w:t>
            </w:r>
          </w:p>
        </w:tc>
        <w:tc>
          <w:tcPr>
            <w:tcW w:w="1701" w:type="dxa"/>
            <w:vAlign w:val="center"/>
          </w:tcPr>
          <w:p w14:paraId="2E6FD2D2" w14:textId="22B4FCDD"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110 699</w:t>
            </w:r>
          </w:p>
        </w:tc>
        <w:tc>
          <w:tcPr>
            <w:tcW w:w="1701" w:type="dxa"/>
            <w:vAlign w:val="center"/>
          </w:tcPr>
          <w:p w14:paraId="12F79889" w14:textId="2A179238"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94 237</w:t>
            </w:r>
          </w:p>
        </w:tc>
        <w:tc>
          <w:tcPr>
            <w:tcW w:w="1600" w:type="dxa"/>
            <w:vAlign w:val="bottom"/>
          </w:tcPr>
          <w:p w14:paraId="3FA375DE" w14:textId="79CC8A6F"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117,5%</w:t>
            </w:r>
          </w:p>
        </w:tc>
      </w:tr>
      <w:tr w:rsidR="00FA26B8" w:rsidRPr="00B02A89" w14:paraId="17FDBECF" w14:textId="77777777" w:rsidTr="003400E3">
        <w:tc>
          <w:tcPr>
            <w:tcW w:w="4491" w:type="dxa"/>
          </w:tcPr>
          <w:p w14:paraId="43E10683"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Kredyty i inne należności od podmiotów niefinansowych i JST brutto</w:t>
            </w:r>
          </w:p>
        </w:tc>
        <w:tc>
          <w:tcPr>
            <w:tcW w:w="1701" w:type="dxa"/>
            <w:vAlign w:val="center"/>
          </w:tcPr>
          <w:p w14:paraId="2AC3AAEE" w14:textId="72C793AB"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41 036</w:t>
            </w:r>
          </w:p>
        </w:tc>
        <w:tc>
          <w:tcPr>
            <w:tcW w:w="1701" w:type="dxa"/>
            <w:vAlign w:val="center"/>
          </w:tcPr>
          <w:p w14:paraId="2F81300C" w14:textId="56433686"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41 739</w:t>
            </w:r>
          </w:p>
        </w:tc>
        <w:tc>
          <w:tcPr>
            <w:tcW w:w="1600" w:type="dxa"/>
            <w:vAlign w:val="bottom"/>
          </w:tcPr>
          <w:p w14:paraId="0A1D100F" w14:textId="7D5398E2"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98,3%</w:t>
            </w:r>
          </w:p>
        </w:tc>
      </w:tr>
      <w:tr w:rsidR="00FA26B8" w:rsidRPr="00B02A89" w14:paraId="6719EA57" w14:textId="77777777" w:rsidTr="003400E3">
        <w:tc>
          <w:tcPr>
            <w:tcW w:w="4491" w:type="dxa"/>
          </w:tcPr>
          <w:p w14:paraId="7C8DB6E1"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Kredyty i inne należności od podmiotów niefinansowych i JST netto</w:t>
            </w:r>
          </w:p>
        </w:tc>
        <w:tc>
          <w:tcPr>
            <w:tcW w:w="1701" w:type="dxa"/>
            <w:vAlign w:val="center"/>
          </w:tcPr>
          <w:p w14:paraId="63ADD1F8" w14:textId="728F26E1"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40 094</w:t>
            </w:r>
          </w:p>
        </w:tc>
        <w:tc>
          <w:tcPr>
            <w:tcW w:w="1701" w:type="dxa"/>
            <w:vAlign w:val="center"/>
          </w:tcPr>
          <w:p w14:paraId="1E5CF73B" w14:textId="624E0855"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40 839</w:t>
            </w:r>
          </w:p>
        </w:tc>
        <w:tc>
          <w:tcPr>
            <w:tcW w:w="1600" w:type="dxa"/>
            <w:vAlign w:val="bottom"/>
          </w:tcPr>
          <w:p w14:paraId="6F8547A1" w14:textId="0609064F"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98,2%</w:t>
            </w:r>
          </w:p>
        </w:tc>
      </w:tr>
      <w:tr w:rsidR="00FA26B8" w:rsidRPr="00B02A89" w14:paraId="6C3226CA" w14:textId="77777777" w:rsidTr="003400E3">
        <w:tc>
          <w:tcPr>
            <w:tcW w:w="4491" w:type="dxa"/>
          </w:tcPr>
          <w:p w14:paraId="683FF960"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Kredyty i inne należności z rozpoznana utratą wartości brutto</w:t>
            </w:r>
          </w:p>
        </w:tc>
        <w:tc>
          <w:tcPr>
            <w:tcW w:w="1701" w:type="dxa"/>
            <w:vAlign w:val="center"/>
          </w:tcPr>
          <w:p w14:paraId="794EB5AF" w14:textId="77792DF7"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1 121</w:t>
            </w:r>
          </w:p>
        </w:tc>
        <w:tc>
          <w:tcPr>
            <w:tcW w:w="1701" w:type="dxa"/>
            <w:vAlign w:val="center"/>
          </w:tcPr>
          <w:p w14:paraId="5B9CE44C" w14:textId="3FC3933A"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1 218</w:t>
            </w:r>
          </w:p>
        </w:tc>
        <w:tc>
          <w:tcPr>
            <w:tcW w:w="1600" w:type="dxa"/>
            <w:vAlign w:val="bottom"/>
          </w:tcPr>
          <w:p w14:paraId="2CEF1CD7" w14:textId="45CDC6BB"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92,0%</w:t>
            </w:r>
          </w:p>
        </w:tc>
      </w:tr>
      <w:tr w:rsidR="00FA26B8" w:rsidRPr="00B02A89" w14:paraId="19B69429" w14:textId="77777777" w:rsidTr="003400E3">
        <w:tc>
          <w:tcPr>
            <w:tcW w:w="4491" w:type="dxa"/>
          </w:tcPr>
          <w:p w14:paraId="5B07068C"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 xml:space="preserve">Udziały lub akcje w </w:t>
            </w:r>
            <w:r>
              <w:rPr>
                <w:rFonts w:ascii="Times New Roman" w:hAnsi="Times New Roman" w:cs="Times New Roman"/>
                <w:sz w:val="20"/>
                <w:szCs w:val="20"/>
              </w:rPr>
              <w:t>instytucjach finansowych</w:t>
            </w:r>
          </w:p>
        </w:tc>
        <w:tc>
          <w:tcPr>
            <w:tcW w:w="1701" w:type="dxa"/>
            <w:vAlign w:val="center"/>
          </w:tcPr>
          <w:p w14:paraId="379309BE" w14:textId="7CF04134"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706</w:t>
            </w:r>
          </w:p>
        </w:tc>
        <w:tc>
          <w:tcPr>
            <w:tcW w:w="1701" w:type="dxa"/>
            <w:vAlign w:val="center"/>
          </w:tcPr>
          <w:p w14:paraId="1EE9928B" w14:textId="7E3556D7"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729</w:t>
            </w:r>
          </w:p>
        </w:tc>
        <w:tc>
          <w:tcPr>
            <w:tcW w:w="1600" w:type="dxa"/>
            <w:vAlign w:val="bottom"/>
          </w:tcPr>
          <w:p w14:paraId="01A7B425" w14:textId="52C46B6A"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96,8%</w:t>
            </w:r>
          </w:p>
        </w:tc>
      </w:tr>
      <w:tr w:rsidR="00FA26B8" w:rsidRPr="00B02A89" w14:paraId="355FF715" w14:textId="77777777" w:rsidTr="003400E3">
        <w:tc>
          <w:tcPr>
            <w:tcW w:w="4491" w:type="dxa"/>
          </w:tcPr>
          <w:p w14:paraId="0C5E9C86"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Lokaty międzybankowe złożone</w:t>
            </w:r>
          </w:p>
        </w:tc>
        <w:tc>
          <w:tcPr>
            <w:tcW w:w="1701" w:type="dxa"/>
            <w:vAlign w:val="center"/>
          </w:tcPr>
          <w:p w14:paraId="24A7856E" w14:textId="0DAF0B3D"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14 170</w:t>
            </w:r>
          </w:p>
        </w:tc>
        <w:tc>
          <w:tcPr>
            <w:tcW w:w="1701" w:type="dxa"/>
            <w:vAlign w:val="center"/>
          </w:tcPr>
          <w:p w14:paraId="49B68665" w14:textId="5FC64ECA"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13 581</w:t>
            </w:r>
          </w:p>
        </w:tc>
        <w:tc>
          <w:tcPr>
            <w:tcW w:w="1600" w:type="dxa"/>
            <w:vAlign w:val="bottom"/>
          </w:tcPr>
          <w:p w14:paraId="7A4EA013" w14:textId="2E3DEAE3"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104,3%</w:t>
            </w:r>
          </w:p>
        </w:tc>
      </w:tr>
      <w:tr w:rsidR="00FA26B8" w:rsidRPr="00B02A89" w14:paraId="4AB65887" w14:textId="77777777" w:rsidTr="003400E3">
        <w:tc>
          <w:tcPr>
            <w:tcW w:w="4491" w:type="dxa"/>
          </w:tcPr>
          <w:p w14:paraId="3D96B5F9" w14:textId="77777777" w:rsidR="00FA26B8" w:rsidRPr="00D46979" w:rsidRDefault="00FA26B8" w:rsidP="00FA26B8">
            <w:pPr>
              <w:pStyle w:val="Akapitzlist"/>
              <w:ind w:left="131"/>
              <w:rPr>
                <w:rFonts w:ascii="Times New Roman" w:hAnsi="Times New Roman" w:cs="Times New Roman"/>
                <w:sz w:val="20"/>
                <w:szCs w:val="20"/>
              </w:rPr>
            </w:pPr>
            <w:r>
              <w:rPr>
                <w:rFonts w:ascii="Times New Roman" w:hAnsi="Times New Roman" w:cs="Times New Roman"/>
                <w:sz w:val="20"/>
                <w:szCs w:val="20"/>
              </w:rPr>
              <w:t>Depozyt obowiązkowy</w:t>
            </w:r>
          </w:p>
        </w:tc>
        <w:tc>
          <w:tcPr>
            <w:tcW w:w="1701" w:type="dxa"/>
            <w:vAlign w:val="center"/>
          </w:tcPr>
          <w:p w14:paraId="59CFE706" w14:textId="7A7BA4C5" w:rsidR="00FA26B8" w:rsidRPr="00FA26B8" w:rsidRDefault="00FB6CE2" w:rsidP="00FA26B8">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7 990</w:t>
            </w:r>
            <w:r w:rsidR="00FA26B8" w:rsidRPr="00FA26B8">
              <w:rPr>
                <w:rFonts w:ascii="Times New Roman" w:hAnsi="Times New Roman" w:cs="Times New Roman"/>
                <w:color w:val="000000"/>
                <w:sz w:val="20"/>
                <w:szCs w:val="20"/>
              </w:rPr>
              <w:t> </w:t>
            </w:r>
          </w:p>
        </w:tc>
        <w:tc>
          <w:tcPr>
            <w:tcW w:w="1701" w:type="dxa"/>
            <w:vAlign w:val="center"/>
          </w:tcPr>
          <w:p w14:paraId="17DEBBA8" w14:textId="51D0B665"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6 820</w:t>
            </w:r>
          </w:p>
        </w:tc>
        <w:tc>
          <w:tcPr>
            <w:tcW w:w="1600" w:type="dxa"/>
            <w:vAlign w:val="bottom"/>
          </w:tcPr>
          <w:p w14:paraId="56D1D3C7" w14:textId="14C53775" w:rsidR="00FA26B8" w:rsidRPr="00FA26B8" w:rsidRDefault="00FB6CE2" w:rsidP="00FA26B8">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117,15</w:t>
            </w:r>
            <w:r w:rsidR="00FA26B8" w:rsidRPr="00FA26B8">
              <w:rPr>
                <w:rFonts w:ascii="Times New Roman" w:hAnsi="Times New Roman" w:cs="Times New Roman"/>
                <w:color w:val="000000"/>
                <w:sz w:val="20"/>
                <w:szCs w:val="20"/>
              </w:rPr>
              <w:t>%</w:t>
            </w:r>
          </w:p>
        </w:tc>
      </w:tr>
      <w:tr w:rsidR="00FA26B8" w:rsidRPr="00B02A89" w14:paraId="6D12B4BE" w14:textId="77777777" w:rsidTr="003400E3">
        <w:tc>
          <w:tcPr>
            <w:tcW w:w="4491" w:type="dxa"/>
          </w:tcPr>
          <w:p w14:paraId="506F07B6"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Dłużne papiery wartościowe</w:t>
            </w:r>
          </w:p>
        </w:tc>
        <w:tc>
          <w:tcPr>
            <w:tcW w:w="1701" w:type="dxa"/>
            <w:vAlign w:val="center"/>
          </w:tcPr>
          <w:p w14:paraId="4E87B4B2" w14:textId="5C10A17D"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39 962</w:t>
            </w:r>
          </w:p>
        </w:tc>
        <w:tc>
          <w:tcPr>
            <w:tcW w:w="1701" w:type="dxa"/>
            <w:vAlign w:val="center"/>
          </w:tcPr>
          <w:p w14:paraId="472BF9DD" w14:textId="595E9BF5"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24 961</w:t>
            </w:r>
          </w:p>
        </w:tc>
        <w:tc>
          <w:tcPr>
            <w:tcW w:w="1600" w:type="dxa"/>
            <w:vAlign w:val="bottom"/>
          </w:tcPr>
          <w:p w14:paraId="7D1D6E05" w14:textId="0230BD08"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160,1%</w:t>
            </w:r>
          </w:p>
        </w:tc>
      </w:tr>
      <w:tr w:rsidR="00FA26B8" w:rsidRPr="00B02A89" w14:paraId="56F62976" w14:textId="77777777" w:rsidTr="003400E3">
        <w:tc>
          <w:tcPr>
            <w:tcW w:w="4491" w:type="dxa"/>
          </w:tcPr>
          <w:p w14:paraId="01ACD1D7"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Fundusze własne po pomniejszeniach:</w:t>
            </w:r>
          </w:p>
        </w:tc>
        <w:tc>
          <w:tcPr>
            <w:tcW w:w="1701" w:type="dxa"/>
            <w:vAlign w:val="center"/>
          </w:tcPr>
          <w:p w14:paraId="5DFADF79" w14:textId="33E8ED7F"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5 434</w:t>
            </w:r>
          </w:p>
        </w:tc>
        <w:tc>
          <w:tcPr>
            <w:tcW w:w="1701" w:type="dxa"/>
            <w:vAlign w:val="center"/>
          </w:tcPr>
          <w:p w14:paraId="7C5C11E7" w14:textId="3A5BF946"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8 429</w:t>
            </w:r>
          </w:p>
        </w:tc>
        <w:tc>
          <w:tcPr>
            <w:tcW w:w="1600" w:type="dxa"/>
            <w:vAlign w:val="bottom"/>
          </w:tcPr>
          <w:p w14:paraId="7327BFCE" w14:textId="66F7E239"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64,5%</w:t>
            </w:r>
          </w:p>
        </w:tc>
      </w:tr>
      <w:tr w:rsidR="00FA26B8" w:rsidRPr="00B02A89" w14:paraId="683D8E51" w14:textId="77777777" w:rsidTr="003400E3">
        <w:tc>
          <w:tcPr>
            <w:tcW w:w="4491" w:type="dxa"/>
          </w:tcPr>
          <w:p w14:paraId="3CA175CD"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 kapitał TIER 1 (fundusze podstawowe)</w:t>
            </w:r>
          </w:p>
        </w:tc>
        <w:tc>
          <w:tcPr>
            <w:tcW w:w="1701" w:type="dxa"/>
            <w:vAlign w:val="center"/>
          </w:tcPr>
          <w:p w14:paraId="1930FC76" w14:textId="6CED3BC6"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5</w:t>
            </w:r>
            <w:r w:rsidR="00FB6CE2">
              <w:rPr>
                <w:rFonts w:ascii="Times New Roman" w:hAnsi="Times New Roman" w:cs="Times New Roman"/>
                <w:color w:val="000000"/>
                <w:sz w:val="20"/>
                <w:szCs w:val="20"/>
              </w:rPr>
              <w:t xml:space="preserve"> </w:t>
            </w:r>
            <w:r w:rsidRPr="00FA26B8">
              <w:rPr>
                <w:rFonts w:ascii="Times New Roman" w:hAnsi="Times New Roman" w:cs="Times New Roman"/>
                <w:color w:val="000000"/>
                <w:sz w:val="20"/>
                <w:szCs w:val="20"/>
              </w:rPr>
              <w:t>434</w:t>
            </w:r>
          </w:p>
        </w:tc>
        <w:tc>
          <w:tcPr>
            <w:tcW w:w="1701" w:type="dxa"/>
            <w:vAlign w:val="center"/>
          </w:tcPr>
          <w:p w14:paraId="0751FD2F" w14:textId="41C4C69F"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8 189</w:t>
            </w:r>
          </w:p>
        </w:tc>
        <w:tc>
          <w:tcPr>
            <w:tcW w:w="1600" w:type="dxa"/>
            <w:vAlign w:val="bottom"/>
          </w:tcPr>
          <w:p w14:paraId="6F6A9E08" w14:textId="0C0EBD6A"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66,4%</w:t>
            </w:r>
          </w:p>
        </w:tc>
      </w:tr>
      <w:tr w:rsidR="00FA26B8" w:rsidRPr="00B02A89" w14:paraId="14F678C5" w14:textId="77777777" w:rsidTr="003400E3">
        <w:tc>
          <w:tcPr>
            <w:tcW w:w="4491" w:type="dxa"/>
          </w:tcPr>
          <w:p w14:paraId="1C89AB8B"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 kapitał TIER 2 (fundusze uzupełniające)</w:t>
            </w:r>
          </w:p>
        </w:tc>
        <w:tc>
          <w:tcPr>
            <w:tcW w:w="1701" w:type="dxa"/>
            <w:vAlign w:val="center"/>
          </w:tcPr>
          <w:p w14:paraId="6886BF79" w14:textId="107D47D3"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0</w:t>
            </w:r>
          </w:p>
        </w:tc>
        <w:tc>
          <w:tcPr>
            <w:tcW w:w="1701" w:type="dxa"/>
            <w:vAlign w:val="center"/>
          </w:tcPr>
          <w:p w14:paraId="146C65D8" w14:textId="766754EF"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240</w:t>
            </w:r>
          </w:p>
        </w:tc>
        <w:tc>
          <w:tcPr>
            <w:tcW w:w="1600" w:type="dxa"/>
            <w:vAlign w:val="bottom"/>
          </w:tcPr>
          <w:p w14:paraId="1D8BBDA1" w14:textId="262B8858"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0,0%</w:t>
            </w:r>
          </w:p>
        </w:tc>
      </w:tr>
      <w:tr w:rsidR="00FA26B8" w:rsidRPr="00B02A89" w14:paraId="19D666EA" w14:textId="77777777" w:rsidTr="003400E3">
        <w:tc>
          <w:tcPr>
            <w:tcW w:w="4491" w:type="dxa"/>
          </w:tcPr>
          <w:p w14:paraId="4E83E8A5"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Zobowiązania wobec sektora finansowego</w:t>
            </w:r>
          </w:p>
        </w:tc>
        <w:tc>
          <w:tcPr>
            <w:tcW w:w="1701" w:type="dxa"/>
            <w:vAlign w:val="center"/>
          </w:tcPr>
          <w:p w14:paraId="3580DBEE" w14:textId="62C6B84E"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0</w:t>
            </w:r>
          </w:p>
        </w:tc>
        <w:tc>
          <w:tcPr>
            <w:tcW w:w="1701" w:type="dxa"/>
            <w:vAlign w:val="center"/>
          </w:tcPr>
          <w:p w14:paraId="2B821912" w14:textId="231EAC9C"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0</w:t>
            </w:r>
          </w:p>
        </w:tc>
        <w:tc>
          <w:tcPr>
            <w:tcW w:w="1600" w:type="dxa"/>
            <w:vAlign w:val="bottom"/>
          </w:tcPr>
          <w:p w14:paraId="390898B0" w14:textId="49BF76E5" w:rsidR="00FA26B8" w:rsidRPr="00FA26B8" w:rsidRDefault="00FA26B8" w:rsidP="00FA26B8">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w:t>
            </w:r>
          </w:p>
        </w:tc>
      </w:tr>
      <w:tr w:rsidR="00FA26B8" w:rsidRPr="00B02A89" w14:paraId="1EC788CE" w14:textId="77777777" w:rsidTr="003400E3">
        <w:tc>
          <w:tcPr>
            <w:tcW w:w="4491" w:type="dxa"/>
          </w:tcPr>
          <w:p w14:paraId="5136E3B7"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Zobowiązania wobec podmiotów niefinansowych i JST</w:t>
            </w:r>
          </w:p>
        </w:tc>
        <w:tc>
          <w:tcPr>
            <w:tcW w:w="1701" w:type="dxa"/>
            <w:vAlign w:val="center"/>
          </w:tcPr>
          <w:p w14:paraId="41CAD2F9" w14:textId="61AC0AAE"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100 688</w:t>
            </w:r>
          </w:p>
        </w:tc>
        <w:tc>
          <w:tcPr>
            <w:tcW w:w="1701" w:type="dxa"/>
            <w:vAlign w:val="center"/>
          </w:tcPr>
          <w:p w14:paraId="1D0C7F17" w14:textId="6D828198"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84 710</w:t>
            </w:r>
          </w:p>
        </w:tc>
        <w:tc>
          <w:tcPr>
            <w:tcW w:w="1600" w:type="dxa"/>
            <w:vAlign w:val="bottom"/>
          </w:tcPr>
          <w:p w14:paraId="037446AA" w14:textId="56558347"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118,9%</w:t>
            </w:r>
          </w:p>
        </w:tc>
      </w:tr>
      <w:tr w:rsidR="00FA26B8" w:rsidRPr="00B02A89" w14:paraId="1EAA70A5" w14:textId="77777777" w:rsidTr="003400E3">
        <w:tc>
          <w:tcPr>
            <w:tcW w:w="4491" w:type="dxa"/>
          </w:tcPr>
          <w:p w14:paraId="67D7FE48"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Zysk/strata netto</w:t>
            </w:r>
          </w:p>
        </w:tc>
        <w:tc>
          <w:tcPr>
            <w:tcW w:w="1701" w:type="dxa"/>
            <w:vAlign w:val="center"/>
          </w:tcPr>
          <w:p w14:paraId="6442F9E1" w14:textId="1AB11303"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503</w:t>
            </w:r>
          </w:p>
        </w:tc>
        <w:tc>
          <w:tcPr>
            <w:tcW w:w="1701" w:type="dxa"/>
            <w:vAlign w:val="center"/>
          </w:tcPr>
          <w:p w14:paraId="787911E3" w14:textId="4284C3DA"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348</w:t>
            </w:r>
          </w:p>
        </w:tc>
        <w:tc>
          <w:tcPr>
            <w:tcW w:w="1600" w:type="dxa"/>
            <w:vAlign w:val="bottom"/>
          </w:tcPr>
          <w:p w14:paraId="57B039E8" w14:textId="787DEBF2"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144,5%</w:t>
            </w:r>
          </w:p>
        </w:tc>
      </w:tr>
      <w:tr w:rsidR="00FA26B8" w:rsidRPr="00B02A89" w14:paraId="218AB158" w14:textId="77777777" w:rsidTr="003400E3">
        <w:tc>
          <w:tcPr>
            <w:tcW w:w="4491" w:type="dxa"/>
          </w:tcPr>
          <w:p w14:paraId="0BB02AFC"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Aktywa trwałe netto</w:t>
            </w:r>
          </w:p>
        </w:tc>
        <w:tc>
          <w:tcPr>
            <w:tcW w:w="1701" w:type="dxa"/>
            <w:vAlign w:val="center"/>
          </w:tcPr>
          <w:p w14:paraId="006DAC24" w14:textId="319C90F5"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2 238</w:t>
            </w:r>
          </w:p>
        </w:tc>
        <w:tc>
          <w:tcPr>
            <w:tcW w:w="1701" w:type="dxa"/>
            <w:vAlign w:val="center"/>
          </w:tcPr>
          <w:p w14:paraId="0A718319" w14:textId="513EB67A"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2 308</w:t>
            </w:r>
          </w:p>
        </w:tc>
        <w:tc>
          <w:tcPr>
            <w:tcW w:w="1600" w:type="dxa"/>
            <w:vAlign w:val="bottom"/>
          </w:tcPr>
          <w:p w14:paraId="3FBF1B64" w14:textId="767C05E1"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97,0%</w:t>
            </w:r>
          </w:p>
        </w:tc>
      </w:tr>
      <w:tr w:rsidR="00FA26B8" w:rsidRPr="00B02A89" w14:paraId="5BD57E6D" w14:textId="77777777" w:rsidTr="003400E3">
        <w:tc>
          <w:tcPr>
            <w:tcW w:w="4491" w:type="dxa"/>
          </w:tcPr>
          <w:p w14:paraId="60C24F3D"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Współczynnik wypłacalności</w:t>
            </w:r>
          </w:p>
        </w:tc>
        <w:tc>
          <w:tcPr>
            <w:tcW w:w="1701" w:type="dxa"/>
            <w:vAlign w:val="center"/>
          </w:tcPr>
          <w:p w14:paraId="1966C1F0" w14:textId="3D27CE81"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15,73%</w:t>
            </w:r>
          </w:p>
        </w:tc>
        <w:tc>
          <w:tcPr>
            <w:tcW w:w="1701" w:type="dxa"/>
            <w:vAlign w:val="center"/>
          </w:tcPr>
          <w:p w14:paraId="162AC172" w14:textId="553CE7FC"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21,05%</w:t>
            </w:r>
          </w:p>
        </w:tc>
        <w:tc>
          <w:tcPr>
            <w:tcW w:w="1600" w:type="dxa"/>
            <w:vAlign w:val="bottom"/>
          </w:tcPr>
          <w:p w14:paraId="014C012B" w14:textId="3E765520"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74,7%</w:t>
            </w:r>
          </w:p>
        </w:tc>
      </w:tr>
      <w:tr w:rsidR="00FA26B8" w:rsidRPr="00B02A89" w14:paraId="1096E2C3" w14:textId="77777777" w:rsidTr="003400E3">
        <w:tc>
          <w:tcPr>
            <w:tcW w:w="4491" w:type="dxa"/>
          </w:tcPr>
          <w:p w14:paraId="285FF118"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Stopa zwrotu z kapitału netto (ROE)</w:t>
            </w:r>
          </w:p>
        </w:tc>
        <w:tc>
          <w:tcPr>
            <w:tcW w:w="1701" w:type="dxa"/>
            <w:vAlign w:val="center"/>
          </w:tcPr>
          <w:p w14:paraId="03B0EE54" w14:textId="617E7719"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9,26%</w:t>
            </w:r>
          </w:p>
        </w:tc>
        <w:tc>
          <w:tcPr>
            <w:tcW w:w="1701" w:type="dxa"/>
            <w:vAlign w:val="center"/>
          </w:tcPr>
          <w:p w14:paraId="35B3C05E" w14:textId="1E9C807B"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4,13%</w:t>
            </w:r>
          </w:p>
        </w:tc>
        <w:tc>
          <w:tcPr>
            <w:tcW w:w="1600" w:type="dxa"/>
            <w:vAlign w:val="bottom"/>
          </w:tcPr>
          <w:p w14:paraId="4BE7A44C" w14:textId="28EB63C4"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224,2%</w:t>
            </w:r>
          </w:p>
        </w:tc>
      </w:tr>
      <w:tr w:rsidR="00FA26B8" w:rsidRPr="00B02A89" w14:paraId="5E3CB001" w14:textId="77777777" w:rsidTr="003400E3">
        <w:tc>
          <w:tcPr>
            <w:tcW w:w="4491" w:type="dxa"/>
          </w:tcPr>
          <w:p w14:paraId="0785FC94"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Stopa zwrotu z aktywów netto (ROA)</w:t>
            </w:r>
          </w:p>
        </w:tc>
        <w:tc>
          <w:tcPr>
            <w:tcW w:w="1701" w:type="dxa"/>
            <w:vAlign w:val="center"/>
          </w:tcPr>
          <w:p w14:paraId="3A3773E9" w14:textId="000E525A"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0,45%</w:t>
            </w:r>
          </w:p>
        </w:tc>
        <w:tc>
          <w:tcPr>
            <w:tcW w:w="1701" w:type="dxa"/>
            <w:vAlign w:val="center"/>
          </w:tcPr>
          <w:p w14:paraId="7C6689AF" w14:textId="1F4360E8"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0,37%</w:t>
            </w:r>
          </w:p>
        </w:tc>
        <w:tc>
          <w:tcPr>
            <w:tcW w:w="1600" w:type="dxa"/>
            <w:vAlign w:val="bottom"/>
          </w:tcPr>
          <w:p w14:paraId="04BCE8D4" w14:textId="72766C86"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123,0%</w:t>
            </w:r>
          </w:p>
        </w:tc>
      </w:tr>
      <w:tr w:rsidR="00FA26B8" w:rsidRPr="00B02A89" w14:paraId="54B9323C" w14:textId="77777777" w:rsidTr="003400E3">
        <w:tc>
          <w:tcPr>
            <w:tcW w:w="4491" w:type="dxa"/>
          </w:tcPr>
          <w:p w14:paraId="59390FE5"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Udział kredytów i innych należności z rozpoznaną utratą wartości brutto w kredytach i innych należnościach brutto ogółem</w:t>
            </w:r>
          </w:p>
        </w:tc>
        <w:tc>
          <w:tcPr>
            <w:tcW w:w="1701" w:type="dxa"/>
            <w:vAlign w:val="center"/>
          </w:tcPr>
          <w:p w14:paraId="7D23B5DB" w14:textId="3D245F68"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2,73%</w:t>
            </w:r>
          </w:p>
        </w:tc>
        <w:tc>
          <w:tcPr>
            <w:tcW w:w="1701" w:type="dxa"/>
            <w:vAlign w:val="center"/>
          </w:tcPr>
          <w:p w14:paraId="5E048173" w14:textId="6615586E"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2,92%</w:t>
            </w:r>
          </w:p>
        </w:tc>
        <w:tc>
          <w:tcPr>
            <w:tcW w:w="1600" w:type="dxa"/>
            <w:vAlign w:val="bottom"/>
          </w:tcPr>
          <w:p w14:paraId="6DE71262" w14:textId="6067E06D"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93,5%</w:t>
            </w:r>
          </w:p>
        </w:tc>
      </w:tr>
      <w:tr w:rsidR="00FA26B8" w:rsidRPr="00B02A89" w14:paraId="683709E7" w14:textId="77777777" w:rsidTr="003400E3">
        <w:tc>
          <w:tcPr>
            <w:tcW w:w="4491" w:type="dxa"/>
          </w:tcPr>
          <w:p w14:paraId="5FC912B8"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Udział kredytów i innych należności netto w sumie bilansowej</w:t>
            </w:r>
          </w:p>
        </w:tc>
        <w:tc>
          <w:tcPr>
            <w:tcW w:w="1701" w:type="dxa"/>
            <w:vAlign w:val="center"/>
          </w:tcPr>
          <w:p w14:paraId="3FDFFE67" w14:textId="4FD67CDD"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36,80%</w:t>
            </w:r>
          </w:p>
        </w:tc>
        <w:tc>
          <w:tcPr>
            <w:tcW w:w="1701" w:type="dxa"/>
            <w:vAlign w:val="center"/>
          </w:tcPr>
          <w:p w14:paraId="0F2F7BEE" w14:textId="58D604D3"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44,29%</w:t>
            </w:r>
          </w:p>
        </w:tc>
        <w:tc>
          <w:tcPr>
            <w:tcW w:w="1600" w:type="dxa"/>
            <w:vAlign w:val="bottom"/>
          </w:tcPr>
          <w:p w14:paraId="2BB20A04" w14:textId="524AE17A"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83,1%</w:t>
            </w:r>
          </w:p>
        </w:tc>
      </w:tr>
      <w:tr w:rsidR="00FA26B8" w:rsidRPr="00B02A89" w14:paraId="534005A9" w14:textId="77777777" w:rsidTr="003400E3">
        <w:tc>
          <w:tcPr>
            <w:tcW w:w="4491" w:type="dxa"/>
          </w:tcPr>
          <w:p w14:paraId="2283C394"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Udział zobowiązań w sumie bilansowej</w:t>
            </w:r>
          </w:p>
        </w:tc>
        <w:tc>
          <w:tcPr>
            <w:tcW w:w="1701" w:type="dxa"/>
            <w:vAlign w:val="center"/>
          </w:tcPr>
          <w:p w14:paraId="33F2C461" w14:textId="5A8F1FF5"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90,70%</w:t>
            </w:r>
          </w:p>
        </w:tc>
        <w:tc>
          <w:tcPr>
            <w:tcW w:w="1701" w:type="dxa"/>
            <w:vAlign w:val="center"/>
          </w:tcPr>
          <w:p w14:paraId="03649F40" w14:textId="40F2A78D"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84,77%</w:t>
            </w:r>
          </w:p>
        </w:tc>
        <w:tc>
          <w:tcPr>
            <w:tcW w:w="1600" w:type="dxa"/>
            <w:vAlign w:val="bottom"/>
          </w:tcPr>
          <w:p w14:paraId="463DFDD7" w14:textId="3B5A6970"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107,0%</w:t>
            </w:r>
          </w:p>
        </w:tc>
      </w:tr>
      <w:tr w:rsidR="00FA26B8" w:rsidRPr="00B02A89" w14:paraId="5F7F3E9C" w14:textId="77777777" w:rsidTr="003400E3">
        <w:tc>
          <w:tcPr>
            <w:tcW w:w="4491" w:type="dxa"/>
          </w:tcPr>
          <w:p w14:paraId="5A25F517" w14:textId="77777777" w:rsidR="00FA26B8" w:rsidRPr="00D46979" w:rsidRDefault="00FA26B8" w:rsidP="00FA26B8">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Stosunek aktywów trwałych netto do funduszy własnych</w:t>
            </w:r>
          </w:p>
        </w:tc>
        <w:tc>
          <w:tcPr>
            <w:tcW w:w="1701" w:type="dxa"/>
            <w:vAlign w:val="center"/>
          </w:tcPr>
          <w:p w14:paraId="7D38653E" w14:textId="0A97E18C"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41,19%</w:t>
            </w:r>
          </w:p>
        </w:tc>
        <w:tc>
          <w:tcPr>
            <w:tcW w:w="1701" w:type="dxa"/>
            <w:vAlign w:val="center"/>
          </w:tcPr>
          <w:p w14:paraId="7790FF52" w14:textId="4866C9D4"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27,38%</w:t>
            </w:r>
          </w:p>
        </w:tc>
        <w:tc>
          <w:tcPr>
            <w:tcW w:w="1600" w:type="dxa"/>
            <w:vAlign w:val="bottom"/>
          </w:tcPr>
          <w:p w14:paraId="109FDA1D" w14:textId="49B0F418"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150,4%</w:t>
            </w:r>
          </w:p>
        </w:tc>
      </w:tr>
      <w:tr w:rsidR="00FA26B8" w:rsidRPr="00F104B9" w14:paraId="63EEA91B" w14:textId="77777777" w:rsidTr="003400E3">
        <w:tc>
          <w:tcPr>
            <w:tcW w:w="4491" w:type="dxa"/>
          </w:tcPr>
          <w:p w14:paraId="2F91C9BA" w14:textId="77777777" w:rsidR="00FA26B8" w:rsidRPr="00D46979" w:rsidRDefault="00FA26B8" w:rsidP="00FA26B8">
            <w:pPr>
              <w:pStyle w:val="Akapitzlist"/>
              <w:ind w:left="131"/>
              <w:rPr>
                <w:rFonts w:ascii="Times New Roman" w:hAnsi="Times New Roman" w:cs="Times New Roman"/>
                <w:sz w:val="20"/>
                <w:szCs w:val="20"/>
              </w:rPr>
            </w:pPr>
            <w:r>
              <w:rPr>
                <w:rFonts w:ascii="Times New Roman" w:hAnsi="Times New Roman" w:cs="Times New Roman"/>
                <w:sz w:val="20"/>
                <w:szCs w:val="20"/>
              </w:rPr>
              <w:t>LCR</w:t>
            </w:r>
          </w:p>
        </w:tc>
        <w:tc>
          <w:tcPr>
            <w:tcW w:w="1701" w:type="dxa"/>
            <w:vAlign w:val="center"/>
          </w:tcPr>
          <w:p w14:paraId="06F4C35C" w14:textId="6FD2DE52"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3,1</w:t>
            </w:r>
          </w:p>
        </w:tc>
        <w:tc>
          <w:tcPr>
            <w:tcW w:w="1701" w:type="dxa"/>
            <w:vAlign w:val="center"/>
          </w:tcPr>
          <w:p w14:paraId="76F74B47" w14:textId="50A33589"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8,89</w:t>
            </w:r>
          </w:p>
        </w:tc>
        <w:tc>
          <w:tcPr>
            <w:tcW w:w="1600" w:type="dxa"/>
            <w:vAlign w:val="bottom"/>
          </w:tcPr>
          <w:p w14:paraId="080FDF1A" w14:textId="476284A4" w:rsidR="00FA26B8" w:rsidRPr="00FA26B8" w:rsidRDefault="00FA26B8" w:rsidP="00FA26B8">
            <w:pPr>
              <w:pStyle w:val="Akapitzlist"/>
              <w:ind w:left="0"/>
              <w:jc w:val="right"/>
              <w:rPr>
                <w:rFonts w:ascii="Times New Roman" w:hAnsi="Times New Roman" w:cs="Times New Roman"/>
                <w:sz w:val="20"/>
                <w:szCs w:val="20"/>
              </w:rPr>
            </w:pPr>
            <w:r w:rsidRPr="00FA26B8">
              <w:rPr>
                <w:rFonts w:ascii="Times New Roman" w:hAnsi="Times New Roman" w:cs="Times New Roman"/>
                <w:color w:val="000000"/>
                <w:sz w:val="20"/>
                <w:szCs w:val="20"/>
              </w:rPr>
              <w:t>34,9%</w:t>
            </w:r>
          </w:p>
        </w:tc>
      </w:tr>
    </w:tbl>
    <w:p w14:paraId="55DA67A5" w14:textId="77777777" w:rsidR="0044318F" w:rsidRDefault="0044318F" w:rsidP="0044318F">
      <w:pPr>
        <w:pStyle w:val="Akapitzlist"/>
        <w:jc w:val="both"/>
        <w:rPr>
          <w:rFonts w:ascii="Times New Roman" w:hAnsi="Times New Roman" w:cs="Times New Roman"/>
          <w:b/>
          <w:sz w:val="24"/>
        </w:rPr>
      </w:pPr>
    </w:p>
    <w:p w14:paraId="36C701EE" w14:textId="50F2F9D2" w:rsidR="00C372F1" w:rsidRDefault="00C372F1" w:rsidP="00D46979">
      <w:pPr>
        <w:pStyle w:val="Akapitzlist"/>
        <w:ind w:left="0"/>
        <w:jc w:val="both"/>
        <w:rPr>
          <w:rFonts w:ascii="Times New Roman" w:hAnsi="Times New Roman" w:cs="Times New Roman"/>
          <w:b/>
          <w:sz w:val="24"/>
        </w:rPr>
      </w:pPr>
      <w:r>
        <w:rPr>
          <w:rFonts w:ascii="Times New Roman" w:hAnsi="Times New Roman" w:cs="Times New Roman"/>
          <w:b/>
          <w:sz w:val="24"/>
        </w:rPr>
        <w:t>Ocena pozycji finansowej i wyniku finansowego Banku względem innych Banków na dzień 31-12-201</w:t>
      </w:r>
      <w:r w:rsidR="003400E3">
        <w:rPr>
          <w:rFonts w:ascii="Times New Roman" w:hAnsi="Times New Roman" w:cs="Times New Roman"/>
          <w:b/>
          <w:sz w:val="24"/>
        </w:rPr>
        <w:t>9</w:t>
      </w:r>
      <w:r>
        <w:rPr>
          <w:rFonts w:ascii="Times New Roman" w:hAnsi="Times New Roman" w:cs="Times New Roman"/>
          <w:b/>
          <w:sz w:val="24"/>
        </w:rPr>
        <w:t>r.</w:t>
      </w:r>
      <w:r w:rsidR="007E37A4">
        <w:rPr>
          <w:rFonts w:ascii="Times New Roman" w:hAnsi="Times New Roman" w:cs="Times New Roman"/>
          <w:b/>
          <w:sz w:val="24"/>
        </w:rPr>
        <w:t xml:space="preserve"> (w danej grupie)</w:t>
      </w:r>
    </w:p>
    <w:p w14:paraId="0BA1CAE6" w14:textId="77777777" w:rsidR="002B5FB5" w:rsidRDefault="002B5FB5" w:rsidP="0044318F">
      <w:pPr>
        <w:pStyle w:val="Akapitzlist"/>
        <w:jc w:val="both"/>
        <w:rPr>
          <w:rFonts w:ascii="Times New Roman" w:hAnsi="Times New Roman" w:cs="Times New Roman"/>
          <w:b/>
          <w:sz w:val="24"/>
        </w:rPr>
      </w:pPr>
    </w:p>
    <w:tbl>
      <w:tblPr>
        <w:tblStyle w:val="Tabela-Siatka"/>
        <w:tblW w:w="7623" w:type="dxa"/>
        <w:tblInd w:w="988" w:type="dxa"/>
        <w:tblLayout w:type="fixed"/>
        <w:tblLook w:val="04A0" w:firstRow="1" w:lastRow="0" w:firstColumn="1" w:lastColumn="0" w:noHBand="0" w:noVBand="1"/>
      </w:tblPr>
      <w:tblGrid>
        <w:gridCol w:w="570"/>
        <w:gridCol w:w="3966"/>
        <w:gridCol w:w="1528"/>
        <w:gridCol w:w="1559"/>
      </w:tblGrid>
      <w:tr w:rsidR="006705A2" w:rsidRPr="001E381C" w14:paraId="7D752A94" w14:textId="77777777" w:rsidTr="006705A2">
        <w:tc>
          <w:tcPr>
            <w:tcW w:w="570" w:type="dxa"/>
            <w:vMerge w:val="restart"/>
            <w:vAlign w:val="center"/>
          </w:tcPr>
          <w:p w14:paraId="58F19F50" w14:textId="77777777" w:rsidR="006705A2" w:rsidRPr="001E381C" w:rsidRDefault="006705A2" w:rsidP="00C372F1">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Lp.</w:t>
            </w:r>
          </w:p>
        </w:tc>
        <w:tc>
          <w:tcPr>
            <w:tcW w:w="3966" w:type="dxa"/>
            <w:vAlign w:val="center"/>
          </w:tcPr>
          <w:p w14:paraId="48799E06" w14:textId="77777777" w:rsidR="006705A2" w:rsidRPr="001E381C" w:rsidRDefault="006705A2" w:rsidP="009365BD">
            <w:pPr>
              <w:pStyle w:val="Akapitzlist"/>
              <w:ind w:left="0"/>
              <w:jc w:val="center"/>
              <w:rPr>
                <w:rFonts w:ascii="Times New Roman" w:hAnsi="Times New Roman" w:cs="Times New Roman"/>
                <w:b/>
                <w:sz w:val="20"/>
                <w:szCs w:val="20"/>
              </w:rPr>
            </w:pPr>
          </w:p>
        </w:tc>
        <w:tc>
          <w:tcPr>
            <w:tcW w:w="1528" w:type="dxa"/>
            <w:vAlign w:val="center"/>
          </w:tcPr>
          <w:p w14:paraId="3AB5D0F0" w14:textId="77777777" w:rsidR="006705A2" w:rsidRPr="001E381C" w:rsidRDefault="006705A2" w:rsidP="009365BD">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BS Podegrodzie</w:t>
            </w:r>
          </w:p>
        </w:tc>
        <w:tc>
          <w:tcPr>
            <w:tcW w:w="1559" w:type="dxa"/>
            <w:vAlign w:val="center"/>
          </w:tcPr>
          <w:p w14:paraId="7CB01D79" w14:textId="6DE46532" w:rsidR="006705A2" w:rsidRPr="001E381C" w:rsidRDefault="006705A2" w:rsidP="009365BD">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Średnia w grupie</w:t>
            </w:r>
          </w:p>
        </w:tc>
      </w:tr>
      <w:tr w:rsidR="006705A2" w:rsidRPr="001E381C" w14:paraId="23494B02" w14:textId="77777777" w:rsidTr="006705A2">
        <w:tc>
          <w:tcPr>
            <w:tcW w:w="570" w:type="dxa"/>
            <w:vMerge/>
            <w:vAlign w:val="center"/>
          </w:tcPr>
          <w:p w14:paraId="12EF73B8" w14:textId="77777777" w:rsidR="006705A2" w:rsidRPr="001E381C" w:rsidRDefault="006705A2" w:rsidP="00C372F1">
            <w:pPr>
              <w:pStyle w:val="Akapitzlist"/>
              <w:ind w:left="0"/>
              <w:jc w:val="center"/>
              <w:rPr>
                <w:rFonts w:ascii="Times New Roman" w:hAnsi="Times New Roman" w:cs="Times New Roman"/>
                <w:b/>
                <w:sz w:val="20"/>
                <w:szCs w:val="20"/>
              </w:rPr>
            </w:pPr>
          </w:p>
        </w:tc>
        <w:tc>
          <w:tcPr>
            <w:tcW w:w="3966" w:type="dxa"/>
            <w:vAlign w:val="center"/>
          </w:tcPr>
          <w:p w14:paraId="07370861" w14:textId="77777777" w:rsidR="006705A2" w:rsidRPr="001E381C" w:rsidRDefault="006705A2" w:rsidP="00C372F1">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Wyszczególnienie</w:t>
            </w:r>
          </w:p>
        </w:tc>
        <w:tc>
          <w:tcPr>
            <w:tcW w:w="1528" w:type="dxa"/>
            <w:vAlign w:val="center"/>
          </w:tcPr>
          <w:p w14:paraId="65491CFF" w14:textId="77777777" w:rsidR="006705A2" w:rsidRPr="001E381C" w:rsidRDefault="006705A2" w:rsidP="00C372F1">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 xml:space="preserve">Wartość </w:t>
            </w:r>
          </w:p>
        </w:tc>
        <w:tc>
          <w:tcPr>
            <w:tcW w:w="1559" w:type="dxa"/>
            <w:vAlign w:val="center"/>
          </w:tcPr>
          <w:p w14:paraId="7591E0D1" w14:textId="77777777" w:rsidR="006705A2" w:rsidRPr="001E381C" w:rsidRDefault="006705A2" w:rsidP="00C372F1">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Wartość</w:t>
            </w:r>
          </w:p>
        </w:tc>
      </w:tr>
      <w:tr w:rsidR="006705A2" w:rsidRPr="001E381C" w14:paraId="54B0B9F2" w14:textId="77777777" w:rsidTr="006705A2">
        <w:tc>
          <w:tcPr>
            <w:tcW w:w="570" w:type="dxa"/>
            <w:vAlign w:val="center"/>
          </w:tcPr>
          <w:p w14:paraId="4DCF47F8"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1.</w:t>
            </w:r>
          </w:p>
        </w:tc>
        <w:tc>
          <w:tcPr>
            <w:tcW w:w="3966" w:type="dxa"/>
            <w:vAlign w:val="center"/>
          </w:tcPr>
          <w:p w14:paraId="2408D06F"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Suma bilansowa</w:t>
            </w:r>
          </w:p>
        </w:tc>
        <w:tc>
          <w:tcPr>
            <w:tcW w:w="1528" w:type="dxa"/>
            <w:vAlign w:val="center"/>
          </w:tcPr>
          <w:p w14:paraId="0130F5EA" w14:textId="1FEB8A82" w:rsidR="006705A2" w:rsidRPr="00F252FA" w:rsidRDefault="006705A2" w:rsidP="00E46C33">
            <w:pPr>
              <w:pStyle w:val="Akapitzlist"/>
              <w:ind w:left="0"/>
              <w:jc w:val="right"/>
              <w:rPr>
                <w:rFonts w:ascii="Times New Roman" w:hAnsi="Times New Roman" w:cs="Times New Roman"/>
                <w:sz w:val="20"/>
              </w:rPr>
            </w:pPr>
            <w:r>
              <w:rPr>
                <w:rFonts w:ascii="Times New Roman" w:hAnsi="Times New Roman" w:cs="Times New Roman"/>
                <w:sz w:val="20"/>
              </w:rPr>
              <w:t>110 682</w:t>
            </w:r>
          </w:p>
        </w:tc>
        <w:tc>
          <w:tcPr>
            <w:tcW w:w="1559" w:type="dxa"/>
            <w:vAlign w:val="center"/>
          </w:tcPr>
          <w:p w14:paraId="70F74252" w14:textId="1BCD01BF" w:rsidR="006705A2" w:rsidRPr="00F252FA" w:rsidRDefault="006705A2" w:rsidP="00E46C33">
            <w:pPr>
              <w:pStyle w:val="Akapitzlist"/>
              <w:ind w:left="0"/>
              <w:jc w:val="right"/>
              <w:rPr>
                <w:rFonts w:ascii="Times New Roman" w:hAnsi="Times New Roman" w:cs="Times New Roman"/>
                <w:sz w:val="20"/>
              </w:rPr>
            </w:pPr>
            <w:r>
              <w:rPr>
                <w:rFonts w:ascii="Times New Roman" w:hAnsi="Times New Roman" w:cs="Times New Roman"/>
                <w:sz w:val="20"/>
              </w:rPr>
              <w:t>83 149</w:t>
            </w:r>
          </w:p>
        </w:tc>
      </w:tr>
      <w:tr w:rsidR="006705A2" w:rsidRPr="001E381C" w14:paraId="1A655152" w14:textId="77777777" w:rsidTr="006705A2">
        <w:tc>
          <w:tcPr>
            <w:tcW w:w="570" w:type="dxa"/>
            <w:vAlign w:val="center"/>
          </w:tcPr>
          <w:p w14:paraId="1ADA5980"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lastRenderedPageBreak/>
              <w:t>2.</w:t>
            </w:r>
          </w:p>
        </w:tc>
        <w:tc>
          <w:tcPr>
            <w:tcW w:w="3966" w:type="dxa"/>
            <w:vAlign w:val="center"/>
          </w:tcPr>
          <w:p w14:paraId="45A83C25"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Współczynnik wypłacalności</w:t>
            </w:r>
          </w:p>
        </w:tc>
        <w:tc>
          <w:tcPr>
            <w:tcW w:w="1528" w:type="dxa"/>
            <w:vAlign w:val="center"/>
          </w:tcPr>
          <w:p w14:paraId="62183D91" w14:textId="28415245" w:rsidR="006705A2" w:rsidRPr="005E7617" w:rsidRDefault="006705A2" w:rsidP="00E46C33">
            <w:pPr>
              <w:pStyle w:val="Akapitzlist"/>
              <w:ind w:left="0"/>
              <w:jc w:val="right"/>
              <w:rPr>
                <w:rFonts w:ascii="Times New Roman" w:hAnsi="Times New Roman" w:cs="Times New Roman"/>
                <w:sz w:val="20"/>
                <w:szCs w:val="20"/>
              </w:rPr>
            </w:pPr>
            <w:r>
              <w:rPr>
                <w:rFonts w:ascii="Times New Roman" w:hAnsi="Times New Roman" w:cs="Times New Roman"/>
                <w:sz w:val="20"/>
                <w:szCs w:val="20"/>
              </w:rPr>
              <w:t>15,73</w:t>
            </w:r>
            <w:r w:rsidRPr="005E7617">
              <w:rPr>
                <w:rFonts w:ascii="Times New Roman" w:hAnsi="Times New Roman" w:cs="Times New Roman"/>
                <w:sz w:val="20"/>
                <w:szCs w:val="20"/>
              </w:rPr>
              <w:t>%</w:t>
            </w:r>
          </w:p>
        </w:tc>
        <w:tc>
          <w:tcPr>
            <w:tcW w:w="1559" w:type="dxa"/>
            <w:vAlign w:val="center"/>
          </w:tcPr>
          <w:p w14:paraId="09093C7A" w14:textId="0934B5C5" w:rsidR="006705A2" w:rsidRPr="005E7617" w:rsidRDefault="006705A2"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23,46</w:t>
            </w:r>
            <w:r w:rsidRPr="005E7617">
              <w:rPr>
                <w:rFonts w:ascii="Times New Roman" w:hAnsi="Times New Roman" w:cs="Times New Roman"/>
                <w:sz w:val="20"/>
                <w:szCs w:val="20"/>
              </w:rPr>
              <w:t>%</w:t>
            </w:r>
          </w:p>
        </w:tc>
      </w:tr>
      <w:tr w:rsidR="006705A2" w:rsidRPr="001E381C" w14:paraId="50CDB3DA" w14:textId="77777777" w:rsidTr="006705A2">
        <w:tc>
          <w:tcPr>
            <w:tcW w:w="570" w:type="dxa"/>
            <w:vAlign w:val="center"/>
          </w:tcPr>
          <w:p w14:paraId="3BED719C"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3.</w:t>
            </w:r>
          </w:p>
        </w:tc>
        <w:tc>
          <w:tcPr>
            <w:tcW w:w="3966" w:type="dxa"/>
            <w:vAlign w:val="center"/>
          </w:tcPr>
          <w:p w14:paraId="1F2C37B4"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Stopa zwrotu z aktywów netto (ROA netto)</w:t>
            </w:r>
          </w:p>
        </w:tc>
        <w:tc>
          <w:tcPr>
            <w:tcW w:w="1528" w:type="dxa"/>
            <w:vAlign w:val="center"/>
          </w:tcPr>
          <w:p w14:paraId="7E61B98C" w14:textId="64BDBCE7" w:rsidR="006705A2" w:rsidRPr="005E7617" w:rsidRDefault="006705A2" w:rsidP="00584DEC">
            <w:pPr>
              <w:pStyle w:val="Akapitzlist"/>
              <w:ind w:left="0"/>
              <w:jc w:val="right"/>
              <w:rPr>
                <w:rFonts w:ascii="Times New Roman" w:hAnsi="Times New Roman" w:cs="Times New Roman"/>
                <w:sz w:val="20"/>
                <w:szCs w:val="20"/>
                <w:highlight w:val="yellow"/>
              </w:rPr>
            </w:pPr>
            <w:r>
              <w:rPr>
                <w:rFonts w:ascii="Times New Roman" w:hAnsi="Times New Roman" w:cs="Times New Roman"/>
                <w:sz w:val="20"/>
                <w:szCs w:val="20"/>
              </w:rPr>
              <w:t>0,51</w:t>
            </w:r>
            <w:r w:rsidRPr="005E7617">
              <w:rPr>
                <w:rFonts w:ascii="Times New Roman" w:hAnsi="Times New Roman" w:cs="Times New Roman"/>
                <w:sz w:val="20"/>
                <w:szCs w:val="20"/>
              </w:rPr>
              <w:t>%</w:t>
            </w:r>
          </w:p>
        </w:tc>
        <w:tc>
          <w:tcPr>
            <w:tcW w:w="1559" w:type="dxa"/>
            <w:vAlign w:val="center"/>
          </w:tcPr>
          <w:p w14:paraId="66FBDE86" w14:textId="6D0C4799" w:rsidR="006705A2" w:rsidRPr="005E7617" w:rsidRDefault="006705A2"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0,42</w:t>
            </w:r>
            <w:r w:rsidRPr="005E7617">
              <w:rPr>
                <w:rFonts w:ascii="Times New Roman" w:hAnsi="Times New Roman" w:cs="Times New Roman"/>
                <w:sz w:val="20"/>
                <w:szCs w:val="20"/>
              </w:rPr>
              <w:t>%</w:t>
            </w:r>
          </w:p>
        </w:tc>
      </w:tr>
      <w:tr w:rsidR="006705A2" w:rsidRPr="001E381C" w14:paraId="5D735E92" w14:textId="77777777" w:rsidTr="006705A2">
        <w:tc>
          <w:tcPr>
            <w:tcW w:w="570" w:type="dxa"/>
            <w:vAlign w:val="center"/>
          </w:tcPr>
          <w:p w14:paraId="7E79A01D" w14:textId="77777777" w:rsidR="006705A2" w:rsidRPr="001E381C" w:rsidRDefault="006705A2" w:rsidP="001354CF">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4.</w:t>
            </w:r>
          </w:p>
        </w:tc>
        <w:tc>
          <w:tcPr>
            <w:tcW w:w="3966" w:type="dxa"/>
            <w:vAlign w:val="center"/>
          </w:tcPr>
          <w:p w14:paraId="1B006449" w14:textId="77777777" w:rsidR="006705A2" w:rsidRPr="001E381C" w:rsidRDefault="006705A2" w:rsidP="001354CF">
            <w:pPr>
              <w:pStyle w:val="Akapitzlist"/>
              <w:ind w:left="0"/>
              <w:rPr>
                <w:rFonts w:ascii="Times New Roman" w:hAnsi="Times New Roman" w:cs="Times New Roman"/>
                <w:sz w:val="20"/>
                <w:szCs w:val="20"/>
              </w:rPr>
            </w:pPr>
            <w:r w:rsidRPr="001E381C">
              <w:rPr>
                <w:rFonts w:ascii="Times New Roman" w:hAnsi="Times New Roman" w:cs="Times New Roman"/>
                <w:sz w:val="20"/>
                <w:szCs w:val="20"/>
              </w:rPr>
              <w:t>Stopa zwrotu z kapitału netto (ROE netto)</w:t>
            </w:r>
          </w:p>
        </w:tc>
        <w:tc>
          <w:tcPr>
            <w:tcW w:w="1528" w:type="dxa"/>
            <w:vAlign w:val="center"/>
          </w:tcPr>
          <w:p w14:paraId="7913FFC9" w14:textId="2AD93454" w:rsidR="006705A2" w:rsidRPr="005E7617" w:rsidRDefault="006705A2" w:rsidP="001354CF">
            <w:pPr>
              <w:pStyle w:val="Akapitzlist"/>
              <w:spacing w:line="360" w:lineRule="auto"/>
              <w:ind w:left="0"/>
              <w:jc w:val="right"/>
              <w:rPr>
                <w:rFonts w:ascii="Times New Roman" w:hAnsi="Times New Roman" w:cs="Times New Roman"/>
                <w:sz w:val="20"/>
                <w:szCs w:val="20"/>
                <w:highlight w:val="yellow"/>
              </w:rPr>
            </w:pPr>
            <w:r>
              <w:rPr>
                <w:rFonts w:ascii="Times New Roman" w:hAnsi="Times New Roman" w:cs="Times New Roman"/>
                <w:sz w:val="20"/>
                <w:szCs w:val="20"/>
              </w:rPr>
              <w:t>5,93</w:t>
            </w:r>
            <w:r w:rsidRPr="005E7617">
              <w:rPr>
                <w:rFonts w:ascii="Times New Roman" w:hAnsi="Times New Roman" w:cs="Times New Roman"/>
                <w:sz w:val="20"/>
                <w:szCs w:val="20"/>
              </w:rPr>
              <w:t xml:space="preserve"> %</w:t>
            </w:r>
          </w:p>
        </w:tc>
        <w:tc>
          <w:tcPr>
            <w:tcW w:w="1559" w:type="dxa"/>
            <w:vAlign w:val="center"/>
          </w:tcPr>
          <w:p w14:paraId="73758BDD" w14:textId="24683474" w:rsidR="006705A2" w:rsidRPr="005E7617" w:rsidRDefault="006705A2" w:rsidP="001354CF">
            <w:pPr>
              <w:pStyle w:val="Akapitzlist"/>
              <w:ind w:left="0"/>
              <w:jc w:val="right"/>
              <w:rPr>
                <w:rFonts w:ascii="Times New Roman" w:hAnsi="Times New Roman" w:cs="Times New Roman"/>
                <w:sz w:val="20"/>
                <w:szCs w:val="20"/>
              </w:rPr>
            </w:pPr>
            <w:r>
              <w:rPr>
                <w:rFonts w:ascii="Times New Roman" w:hAnsi="Times New Roman" w:cs="Times New Roman"/>
                <w:sz w:val="20"/>
                <w:szCs w:val="20"/>
              </w:rPr>
              <w:t>3,50</w:t>
            </w:r>
            <w:r w:rsidRPr="005E7617">
              <w:rPr>
                <w:rFonts w:ascii="Times New Roman" w:hAnsi="Times New Roman" w:cs="Times New Roman"/>
                <w:sz w:val="20"/>
                <w:szCs w:val="20"/>
              </w:rPr>
              <w:t>%</w:t>
            </w:r>
          </w:p>
        </w:tc>
      </w:tr>
      <w:tr w:rsidR="006705A2" w:rsidRPr="001E381C" w14:paraId="194B4505" w14:textId="77777777" w:rsidTr="006705A2">
        <w:tc>
          <w:tcPr>
            <w:tcW w:w="570" w:type="dxa"/>
            <w:vAlign w:val="center"/>
          </w:tcPr>
          <w:p w14:paraId="2DFFE2AE"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5.</w:t>
            </w:r>
          </w:p>
        </w:tc>
        <w:tc>
          <w:tcPr>
            <w:tcW w:w="3966" w:type="dxa"/>
            <w:vAlign w:val="center"/>
          </w:tcPr>
          <w:p w14:paraId="4CA7E64E"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Udział kredytów w sumie bilansowej</w:t>
            </w:r>
          </w:p>
        </w:tc>
        <w:tc>
          <w:tcPr>
            <w:tcW w:w="1528" w:type="dxa"/>
            <w:vAlign w:val="center"/>
          </w:tcPr>
          <w:p w14:paraId="603B27E9" w14:textId="03E64FC1" w:rsidR="006705A2" w:rsidRPr="005E7617" w:rsidRDefault="006705A2" w:rsidP="00E46C33">
            <w:pPr>
              <w:pStyle w:val="Akapitzlist"/>
              <w:ind w:left="0"/>
              <w:jc w:val="right"/>
              <w:rPr>
                <w:rFonts w:ascii="Times New Roman" w:hAnsi="Times New Roman" w:cs="Times New Roman"/>
                <w:sz w:val="20"/>
                <w:szCs w:val="20"/>
              </w:rPr>
            </w:pPr>
            <w:r>
              <w:rPr>
                <w:rFonts w:ascii="Times New Roman" w:hAnsi="Times New Roman" w:cs="Times New Roman"/>
                <w:sz w:val="20"/>
                <w:szCs w:val="20"/>
              </w:rPr>
              <w:t>36,23</w:t>
            </w:r>
            <w:r w:rsidRPr="005E7617">
              <w:rPr>
                <w:rFonts w:ascii="Times New Roman" w:hAnsi="Times New Roman" w:cs="Times New Roman"/>
                <w:sz w:val="20"/>
                <w:szCs w:val="20"/>
              </w:rPr>
              <w:t>%</w:t>
            </w:r>
          </w:p>
        </w:tc>
        <w:tc>
          <w:tcPr>
            <w:tcW w:w="1559" w:type="dxa"/>
            <w:vAlign w:val="center"/>
          </w:tcPr>
          <w:p w14:paraId="65699E3E" w14:textId="41C8B5FE" w:rsidR="006705A2" w:rsidRPr="005E7617" w:rsidRDefault="006705A2"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47,28</w:t>
            </w:r>
            <w:r w:rsidRPr="005E7617">
              <w:rPr>
                <w:rFonts w:ascii="Times New Roman" w:hAnsi="Times New Roman" w:cs="Times New Roman"/>
                <w:sz w:val="20"/>
                <w:szCs w:val="20"/>
              </w:rPr>
              <w:t>%</w:t>
            </w:r>
          </w:p>
        </w:tc>
      </w:tr>
      <w:tr w:rsidR="006705A2" w:rsidRPr="001E381C" w14:paraId="07310126" w14:textId="77777777" w:rsidTr="006705A2">
        <w:tc>
          <w:tcPr>
            <w:tcW w:w="570" w:type="dxa"/>
            <w:vAlign w:val="center"/>
          </w:tcPr>
          <w:p w14:paraId="77A39513" w14:textId="77777777" w:rsidR="006705A2" w:rsidRPr="001E381C" w:rsidRDefault="006705A2" w:rsidP="001354CF">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6.</w:t>
            </w:r>
          </w:p>
        </w:tc>
        <w:tc>
          <w:tcPr>
            <w:tcW w:w="3966" w:type="dxa"/>
            <w:vAlign w:val="center"/>
          </w:tcPr>
          <w:p w14:paraId="599AE5F3" w14:textId="77777777" w:rsidR="006705A2" w:rsidRPr="001E381C" w:rsidRDefault="006705A2" w:rsidP="001354CF">
            <w:pPr>
              <w:pStyle w:val="Akapitzlist"/>
              <w:ind w:left="0"/>
              <w:rPr>
                <w:rFonts w:ascii="Times New Roman" w:hAnsi="Times New Roman" w:cs="Times New Roman"/>
                <w:sz w:val="20"/>
                <w:szCs w:val="20"/>
              </w:rPr>
            </w:pPr>
            <w:r w:rsidRPr="001E381C">
              <w:rPr>
                <w:rFonts w:ascii="Times New Roman" w:hAnsi="Times New Roman" w:cs="Times New Roman"/>
                <w:sz w:val="20"/>
                <w:szCs w:val="20"/>
              </w:rPr>
              <w:t>Udział kredytów zagrożonych w sumie kredytów brutto</w:t>
            </w:r>
          </w:p>
        </w:tc>
        <w:tc>
          <w:tcPr>
            <w:tcW w:w="1528" w:type="dxa"/>
            <w:vAlign w:val="center"/>
          </w:tcPr>
          <w:p w14:paraId="2674726C" w14:textId="30A43549" w:rsidR="006705A2" w:rsidRPr="005E7617" w:rsidRDefault="006705A2" w:rsidP="001354CF">
            <w:pPr>
              <w:pStyle w:val="Akapitzlist"/>
              <w:ind w:left="0"/>
              <w:jc w:val="right"/>
              <w:rPr>
                <w:rFonts w:ascii="Times New Roman" w:hAnsi="Times New Roman" w:cs="Times New Roman"/>
                <w:sz w:val="20"/>
                <w:szCs w:val="20"/>
              </w:rPr>
            </w:pPr>
            <w:r>
              <w:rPr>
                <w:rFonts w:ascii="Times New Roman" w:hAnsi="Times New Roman" w:cs="Times New Roman"/>
                <w:sz w:val="20"/>
                <w:szCs w:val="20"/>
              </w:rPr>
              <w:t>2,75</w:t>
            </w:r>
            <w:r w:rsidRPr="005E7617">
              <w:rPr>
                <w:rFonts w:ascii="Times New Roman" w:hAnsi="Times New Roman" w:cs="Times New Roman"/>
                <w:sz w:val="20"/>
                <w:szCs w:val="20"/>
              </w:rPr>
              <w:t>%</w:t>
            </w:r>
          </w:p>
        </w:tc>
        <w:tc>
          <w:tcPr>
            <w:tcW w:w="1559" w:type="dxa"/>
            <w:vAlign w:val="center"/>
          </w:tcPr>
          <w:p w14:paraId="7736C35D" w14:textId="6CF5ED03" w:rsidR="006705A2" w:rsidRPr="005E7617" w:rsidRDefault="006705A2" w:rsidP="001354CF">
            <w:pPr>
              <w:pStyle w:val="Akapitzlist"/>
              <w:ind w:left="0"/>
              <w:jc w:val="right"/>
              <w:rPr>
                <w:rFonts w:ascii="Times New Roman" w:hAnsi="Times New Roman" w:cs="Times New Roman"/>
                <w:sz w:val="20"/>
                <w:szCs w:val="20"/>
              </w:rPr>
            </w:pPr>
            <w:r>
              <w:rPr>
                <w:rFonts w:ascii="Times New Roman" w:hAnsi="Times New Roman" w:cs="Times New Roman"/>
                <w:sz w:val="20"/>
                <w:szCs w:val="20"/>
              </w:rPr>
              <w:t>5,18</w:t>
            </w:r>
            <w:r w:rsidRPr="005E7617">
              <w:rPr>
                <w:rFonts w:ascii="Times New Roman" w:hAnsi="Times New Roman" w:cs="Times New Roman"/>
                <w:sz w:val="20"/>
                <w:szCs w:val="20"/>
              </w:rPr>
              <w:t>%</w:t>
            </w:r>
          </w:p>
        </w:tc>
      </w:tr>
      <w:tr w:rsidR="006705A2" w:rsidRPr="001E381C" w14:paraId="35A27635" w14:textId="77777777" w:rsidTr="006705A2">
        <w:tc>
          <w:tcPr>
            <w:tcW w:w="570" w:type="dxa"/>
            <w:vAlign w:val="center"/>
          </w:tcPr>
          <w:p w14:paraId="7E05D2C3"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7.</w:t>
            </w:r>
          </w:p>
        </w:tc>
        <w:tc>
          <w:tcPr>
            <w:tcW w:w="3966" w:type="dxa"/>
            <w:vAlign w:val="center"/>
          </w:tcPr>
          <w:p w14:paraId="40737960"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Udział funduszy własnych w sumie bilansowej</w:t>
            </w:r>
          </w:p>
        </w:tc>
        <w:tc>
          <w:tcPr>
            <w:tcW w:w="1528" w:type="dxa"/>
            <w:vAlign w:val="center"/>
          </w:tcPr>
          <w:p w14:paraId="29043F81" w14:textId="564F99A3" w:rsidR="006705A2" w:rsidRPr="005E7617" w:rsidRDefault="006705A2" w:rsidP="001D26C8">
            <w:pPr>
              <w:pStyle w:val="Akapitzlist"/>
              <w:ind w:left="0"/>
              <w:jc w:val="right"/>
              <w:rPr>
                <w:rFonts w:ascii="Times New Roman" w:hAnsi="Times New Roman" w:cs="Times New Roman"/>
                <w:sz w:val="20"/>
                <w:szCs w:val="20"/>
              </w:rPr>
            </w:pPr>
            <w:r>
              <w:rPr>
                <w:rFonts w:ascii="Times New Roman" w:hAnsi="Times New Roman" w:cs="Times New Roman"/>
                <w:sz w:val="20"/>
                <w:szCs w:val="20"/>
              </w:rPr>
              <w:t>4,91</w:t>
            </w:r>
            <w:r w:rsidRPr="005E7617">
              <w:rPr>
                <w:rFonts w:ascii="Times New Roman" w:hAnsi="Times New Roman" w:cs="Times New Roman"/>
                <w:sz w:val="20"/>
                <w:szCs w:val="20"/>
              </w:rPr>
              <w:t>%</w:t>
            </w:r>
          </w:p>
        </w:tc>
        <w:tc>
          <w:tcPr>
            <w:tcW w:w="1559" w:type="dxa"/>
            <w:vAlign w:val="center"/>
          </w:tcPr>
          <w:p w14:paraId="0FF8CC71" w14:textId="5BA48771" w:rsidR="006705A2" w:rsidRPr="005E7617" w:rsidRDefault="006705A2"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10,88</w:t>
            </w:r>
            <w:r w:rsidRPr="005E7617">
              <w:rPr>
                <w:rFonts w:ascii="Times New Roman" w:hAnsi="Times New Roman" w:cs="Times New Roman"/>
                <w:sz w:val="20"/>
                <w:szCs w:val="20"/>
              </w:rPr>
              <w:t>%</w:t>
            </w:r>
          </w:p>
        </w:tc>
      </w:tr>
      <w:tr w:rsidR="006705A2" w:rsidRPr="001E381C" w14:paraId="6D518BC2" w14:textId="77777777" w:rsidTr="006705A2">
        <w:tc>
          <w:tcPr>
            <w:tcW w:w="570" w:type="dxa"/>
            <w:vAlign w:val="center"/>
          </w:tcPr>
          <w:p w14:paraId="349DAF8A" w14:textId="77777777" w:rsidR="006705A2" w:rsidRPr="001E381C" w:rsidRDefault="006705A2" w:rsidP="001354CF">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8.</w:t>
            </w:r>
          </w:p>
        </w:tc>
        <w:tc>
          <w:tcPr>
            <w:tcW w:w="3966" w:type="dxa"/>
            <w:vAlign w:val="center"/>
          </w:tcPr>
          <w:p w14:paraId="20640445" w14:textId="77777777" w:rsidR="006705A2" w:rsidRPr="001E381C" w:rsidRDefault="006705A2" w:rsidP="001354CF">
            <w:pPr>
              <w:pStyle w:val="Akapitzlist"/>
              <w:ind w:left="0"/>
              <w:rPr>
                <w:rFonts w:ascii="Times New Roman" w:hAnsi="Times New Roman" w:cs="Times New Roman"/>
                <w:sz w:val="20"/>
                <w:szCs w:val="20"/>
              </w:rPr>
            </w:pPr>
            <w:r w:rsidRPr="001E381C">
              <w:rPr>
                <w:rFonts w:ascii="Times New Roman" w:hAnsi="Times New Roman" w:cs="Times New Roman"/>
                <w:sz w:val="20"/>
                <w:szCs w:val="20"/>
              </w:rPr>
              <w:t>Wskaźnik pokrycia kredytów depozytami</w:t>
            </w:r>
          </w:p>
        </w:tc>
        <w:tc>
          <w:tcPr>
            <w:tcW w:w="1528" w:type="dxa"/>
            <w:vAlign w:val="center"/>
          </w:tcPr>
          <w:p w14:paraId="38049B51" w14:textId="32D3B183" w:rsidR="006705A2" w:rsidRPr="005E7617" w:rsidRDefault="006705A2" w:rsidP="001354CF">
            <w:pPr>
              <w:pStyle w:val="Akapitzlist"/>
              <w:ind w:left="0"/>
              <w:jc w:val="right"/>
              <w:rPr>
                <w:rFonts w:ascii="Times New Roman" w:hAnsi="Times New Roman" w:cs="Times New Roman"/>
                <w:sz w:val="20"/>
                <w:szCs w:val="20"/>
                <w:highlight w:val="yellow"/>
              </w:rPr>
            </w:pPr>
            <w:r>
              <w:rPr>
                <w:rFonts w:ascii="Times New Roman" w:hAnsi="Times New Roman" w:cs="Times New Roman"/>
                <w:sz w:val="20"/>
                <w:szCs w:val="20"/>
              </w:rPr>
              <w:t>246</w:t>
            </w:r>
            <w:r w:rsidRPr="005E7617">
              <w:rPr>
                <w:rFonts w:ascii="Times New Roman" w:hAnsi="Times New Roman" w:cs="Times New Roman"/>
                <w:sz w:val="20"/>
                <w:szCs w:val="20"/>
              </w:rPr>
              <w:t>%</w:t>
            </w:r>
          </w:p>
        </w:tc>
        <w:tc>
          <w:tcPr>
            <w:tcW w:w="1559" w:type="dxa"/>
            <w:vAlign w:val="center"/>
          </w:tcPr>
          <w:p w14:paraId="2D1C5D07" w14:textId="0A270E5A" w:rsidR="006705A2" w:rsidRPr="005E7617" w:rsidRDefault="006705A2" w:rsidP="001354CF">
            <w:pPr>
              <w:pStyle w:val="Akapitzlist"/>
              <w:ind w:left="0"/>
              <w:jc w:val="right"/>
              <w:rPr>
                <w:rFonts w:ascii="Times New Roman" w:hAnsi="Times New Roman" w:cs="Times New Roman"/>
                <w:sz w:val="20"/>
                <w:szCs w:val="20"/>
              </w:rPr>
            </w:pPr>
            <w:r>
              <w:rPr>
                <w:rFonts w:ascii="Times New Roman" w:hAnsi="Times New Roman" w:cs="Times New Roman"/>
                <w:sz w:val="20"/>
                <w:szCs w:val="20"/>
              </w:rPr>
              <w:t>179,81</w:t>
            </w:r>
            <w:r w:rsidRPr="005E7617">
              <w:rPr>
                <w:rFonts w:ascii="Times New Roman" w:hAnsi="Times New Roman" w:cs="Times New Roman"/>
                <w:sz w:val="20"/>
                <w:szCs w:val="20"/>
              </w:rPr>
              <w:t>%</w:t>
            </w:r>
          </w:p>
        </w:tc>
      </w:tr>
      <w:tr w:rsidR="006705A2" w:rsidRPr="001E381C" w14:paraId="77BEB5B8" w14:textId="77777777" w:rsidTr="006705A2">
        <w:tc>
          <w:tcPr>
            <w:tcW w:w="570" w:type="dxa"/>
            <w:vAlign w:val="center"/>
          </w:tcPr>
          <w:p w14:paraId="6C6B8F21"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9.</w:t>
            </w:r>
          </w:p>
        </w:tc>
        <w:tc>
          <w:tcPr>
            <w:tcW w:w="3966" w:type="dxa"/>
            <w:vAlign w:val="center"/>
          </w:tcPr>
          <w:p w14:paraId="755ED65A"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Stosunek kosztów działania banku do wyniku działalności bankowej</w:t>
            </w:r>
          </w:p>
        </w:tc>
        <w:tc>
          <w:tcPr>
            <w:tcW w:w="1528" w:type="dxa"/>
            <w:vAlign w:val="center"/>
          </w:tcPr>
          <w:p w14:paraId="52523427" w14:textId="0959B246" w:rsidR="006705A2" w:rsidRPr="005E7617" w:rsidRDefault="006705A2" w:rsidP="00E46C33">
            <w:pPr>
              <w:pStyle w:val="Akapitzlist"/>
              <w:ind w:left="0"/>
              <w:jc w:val="right"/>
              <w:rPr>
                <w:rFonts w:ascii="Times New Roman" w:hAnsi="Times New Roman" w:cs="Times New Roman"/>
                <w:sz w:val="20"/>
                <w:szCs w:val="20"/>
              </w:rPr>
            </w:pPr>
            <w:r>
              <w:rPr>
                <w:rFonts w:ascii="Times New Roman" w:hAnsi="Times New Roman" w:cs="Times New Roman"/>
                <w:sz w:val="20"/>
                <w:szCs w:val="20"/>
              </w:rPr>
              <w:t>78,06</w:t>
            </w:r>
            <w:r w:rsidRPr="005E7617">
              <w:rPr>
                <w:rFonts w:ascii="Times New Roman" w:hAnsi="Times New Roman" w:cs="Times New Roman"/>
                <w:sz w:val="20"/>
                <w:szCs w:val="20"/>
              </w:rPr>
              <w:t>%</w:t>
            </w:r>
          </w:p>
        </w:tc>
        <w:tc>
          <w:tcPr>
            <w:tcW w:w="1559" w:type="dxa"/>
            <w:vAlign w:val="center"/>
          </w:tcPr>
          <w:p w14:paraId="58BC3F2B" w14:textId="15C84265" w:rsidR="006705A2" w:rsidRPr="005E7617" w:rsidRDefault="006705A2"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74,15</w:t>
            </w:r>
            <w:r w:rsidRPr="005E7617">
              <w:rPr>
                <w:rFonts w:ascii="Times New Roman" w:hAnsi="Times New Roman" w:cs="Times New Roman"/>
                <w:sz w:val="20"/>
                <w:szCs w:val="20"/>
              </w:rPr>
              <w:t>%</w:t>
            </w:r>
          </w:p>
        </w:tc>
      </w:tr>
    </w:tbl>
    <w:p w14:paraId="5954953D" w14:textId="77777777" w:rsidR="00C372F1" w:rsidRDefault="00C372F1" w:rsidP="006705A2">
      <w:pPr>
        <w:pStyle w:val="Akapitzlist"/>
        <w:jc w:val="both"/>
        <w:rPr>
          <w:rFonts w:ascii="Times New Roman" w:hAnsi="Times New Roman" w:cs="Times New Roman"/>
          <w:b/>
          <w:sz w:val="24"/>
        </w:rPr>
      </w:pPr>
    </w:p>
    <w:p w14:paraId="1CEE2BF7" w14:textId="28382209" w:rsidR="007E37A4" w:rsidRDefault="007E37A4" w:rsidP="006705A2">
      <w:pPr>
        <w:pStyle w:val="Akapitzlist"/>
        <w:ind w:left="0"/>
        <w:jc w:val="both"/>
        <w:rPr>
          <w:rFonts w:ascii="Times New Roman" w:hAnsi="Times New Roman" w:cs="Times New Roman"/>
        </w:rPr>
      </w:pPr>
      <w:r w:rsidRPr="00AD7AF8">
        <w:rPr>
          <w:rFonts w:ascii="Times New Roman" w:hAnsi="Times New Roman" w:cs="Times New Roman"/>
        </w:rPr>
        <w:t xml:space="preserve">W ocenie punktowej Bank Spółdzielczy w Podegrodziu </w:t>
      </w:r>
      <w:r w:rsidR="009511EC" w:rsidRPr="00AD7AF8">
        <w:rPr>
          <w:rFonts w:ascii="Times New Roman" w:hAnsi="Times New Roman" w:cs="Times New Roman"/>
        </w:rPr>
        <w:t>znaj</w:t>
      </w:r>
      <w:r w:rsidR="00A11B1C">
        <w:rPr>
          <w:rFonts w:ascii="Times New Roman" w:hAnsi="Times New Roman" w:cs="Times New Roman"/>
        </w:rPr>
        <w:t>d</w:t>
      </w:r>
      <w:r w:rsidR="009511EC" w:rsidRPr="00AD7AF8">
        <w:rPr>
          <w:rFonts w:ascii="Times New Roman" w:hAnsi="Times New Roman" w:cs="Times New Roman"/>
        </w:rPr>
        <w:t>u</w:t>
      </w:r>
      <w:r w:rsidR="00A11B1C">
        <w:rPr>
          <w:rFonts w:ascii="Times New Roman" w:hAnsi="Times New Roman" w:cs="Times New Roman"/>
        </w:rPr>
        <w:t>je</w:t>
      </w:r>
      <w:r w:rsidR="0038056E">
        <w:rPr>
          <w:rFonts w:ascii="Times New Roman" w:hAnsi="Times New Roman" w:cs="Times New Roman"/>
        </w:rPr>
        <w:t xml:space="preserve"> się w </w:t>
      </w:r>
      <w:r w:rsidR="009511EC" w:rsidRPr="00AD7AF8">
        <w:rPr>
          <w:rFonts w:ascii="Times New Roman" w:hAnsi="Times New Roman" w:cs="Times New Roman"/>
        </w:rPr>
        <w:t>V grupie banków (</w:t>
      </w:r>
      <w:r w:rsidR="00576B26">
        <w:rPr>
          <w:rFonts w:ascii="Times New Roman" w:hAnsi="Times New Roman" w:cs="Times New Roman"/>
        </w:rPr>
        <w:t xml:space="preserve">100 mln </w:t>
      </w:r>
      <w:r w:rsidR="0044627A" w:rsidRPr="00AD7AF8">
        <w:rPr>
          <w:rFonts w:ascii="Times New Roman" w:hAnsi="Times New Roman" w:cs="Times New Roman"/>
        </w:rPr>
        <w:t>&gt; aktywa wg  stanu na 31.12.20</w:t>
      </w:r>
      <w:r w:rsidR="006D0E46">
        <w:rPr>
          <w:rFonts w:ascii="Times New Roman" w:hAnsi="Times New Roman" w:cs="Times New Roman"/>
        </w:rPr>
        <w:t>1</w:t>
      </w:r>
      <w:r w:rsidR="00576B26">
        <w:rPr>
          <w:rFonts w:ascii="Times New Roman" w:hAnsi="Times New Roman" w:cs="Times New Roman"/>
        </w:rPr>
        <w:t>8 &gt; 50 mln</w:t>
      </w:r>
      <w:r w:rsidR="0044627A" w:rsidRPr="00AD7AF8">
        <w:rPr>
          <w:rFonts w:ascii="Times New Roman" w:hAnsi="Times New Roman" w:cs="Times New Roman"/>
        </w:rPr>
        <w:t>)</w:t>
      </w:r>
      <w:r w:rsidR="006705A2">
        <w:rPr>
          <w:rFonts w:ascii="Times New Roman" w:hAnsi="Times New Roman" w:cs="Times New Roman"/>
        </w:rPr>
        <w:t>.</w:t>
      </w:r>
      <w:r w:rsidR="003E26F9">
        <w:rPr>
          <w:rFonts w:ascii="Times New Roman" w:hAnsi="Times New Roman" w:cs="Times New Roman"/>
        </w:rPr>
        <w:t xml:space="preserve"> </w:t>
      </w:r>
      <w:r w:rsidR="00576B26">
        <w:rPr>
          <w:rFonts w:ascii="Times New Roman" w:hAnsi="Times New Roman" w:cs="Times New Roman"/>
        </w:rPr>
        <w:t>Od roku 2020 wyniki Banku będą analizowane z wynikami grupy IV, w której znajdują się Banki z sumą bilansową mniejszą niż 200 mln a większą niż 100 mln.</w:t>
      </w:r>
    </w:p>
    <w:p w14:paraId="78195E4C" w14:textId="77777777" w:rsidR="0038056E" w:rsidRDefault="0038056E" w:rsidP="001E381C">
      <w:pPr>
        <w:pStyle w:val="Akapitzlist"/>
        <w:spacing w:line="240" w:lineRule="auto"/>
        <w:ind w:left="0"/>
        <w:jc w:val="both"/>
        <w:rPr>
          <w:rFonts w:ascii="Times New Roman" w:hAnsi="Times New Roman" w:cs="Times New Roman"/>
        </w:rPr>
      </w:pPr>
    </w:p>
    <w:p w14:paraId="004372F6" w14:textId="77777777" w:rsidR="005E7617" w:rsidRDefault="005E7617" w:rsidP="001E381C">
      <w:pPr>
        <w:pStyle w:val="Akapitzlist"/>
        <w:spacing w:line="240" w:lineRule="auto"/>
        <w:ind w:left="0"/>
        <w:jc w:val="both"/>
        <w:rPr>
          <w:rFonts w:ascii="Times New Roman" w:hAnsi="Times New Roman" w:cs="Times New Roman"/>
        </w:rPr>
      </w:pPr>
    </w:p>
    <w:p w14:paraId="369E09D4" w14:textId="77777777" w:rsidR="00AA788D" w:rsidRPr="00AD7AF8" w:rsidRDefault="00AA788D" w:rsidP="00AD7AF8">
      <w:pPr>
        <w:jc w:val="center"/>
        <w:rPr>
          <w:rFonts w:ascii="Times New Roman" w:hAnsi="Times New Roman" w:cs="Times New Roman"/>
          <w:b/>
        </w:rPr>
      </w:pPr>
      <w:r w:rsidRPr="00AD7AF8">
        <w:rPr>
          <w:rFonts w:ascii="Times New Roman" w:hAnsi="Times New Roman" w:cs="Times New Roman"/>
          <w:b/>
        </w:rPr>
        <w:t>II. CELE I ZASADY POLITYKI ZARZĄDZANIA POSZCZEGÓLNYMI RODZAJAMI RYZYKA</w:t>
      </w:r>
    </w:p>
    <w:p w14:paraId="67EBE846" w14:textId="77777777" w:rsidR="0044318F" w:rsidRPr="00AD7AF8" w:rsidRDefault="004539F1" w:rsidP="00AD7AF8">
      <w:pPr>
        <w:pStyle w:val="Akapitzlist"/>
        <w:spacing w:line="240" w:lineRule="auto"/>
        <w:ind w:left="0"/>
        <w:jc w:val="both"/>
        <w:rPr>
          <w:rFonts w:ascii="Times New Roman" w:hAnsi="Times New Roman" w:cs="Times New Roman"/>
          <w:b/>
        </w:rPr>
      </w:pPr>
      <w:r w:rsidRPr="00AD7AF8">
        <w:rPr>
          <w:rFonts w:ascii="Times New Roman" w:hAnsi="Times New Roman" w:cs="Times New Roman"/>
          <w:b/>
        </w:rPr>
        <w:t>Cele, zasady, strategie i procesy zarządzania poszczególnymi rodzajami ryzyka</w:t>
      </w:r>
    </w:p>
    <w:p w14:paraId="603AC0FC" w14:textId="77777777" w:rsidR="004539F1" w:rsidRPr="00AD7AF8" w:rsidRDefault="004539F1" w:rsidP="00AD7AF8">
      <w:pPr>
        <w:pStyle w:val="Akapitzlist"/>
        <w:spacing w:line="240" w:lineRule="auto"/>
        <w:ind w:left="0"/>
        <w:jc w:val="both"/>
        <w:rPr>
          <w:rFonts w:ascii="Times New Roman" w:hAnsi="Times New Roman" w:cs="Times New Roman"/>
        </w:rPr>
      </w:pPr>
      <w:r w:rsidRPr="00AD7AF8">
        <w:rPr>
          <w:rFonts w:ascii="Times New Roman" w:hAnsi="Times New Roman" w:cs="Times New Roman"/>
        </w:rPr>
        <w:t>Cele, zasady, strategie i procesy zarządzania rodzajami ryzyka ujęte są w poszczególnych  strategiach i politykach dotyczących danego rodzaju ryzyka oraz instrukcjach odnośnie adekwatności kapitałowej.</w:t>
      </w:r>
    </w:p>
    <w:p w14:paraId="490A718B" w14:textId="77777777" w:rsidR="004539F1" w:rsidRPr="00AD7AF8" w:rsidRDefault="004539F1" w:rsidP="00AD7AF8">
      <w:pPr>
        <w:pStyle w:val="Akapitzlist"/>
        <w:spacing w:line="240" w:lineRule="auto"/>
        <w:ind w:left="0"/>
        <w:jc w:val="both"/>
        <w:rPr>
          <w:rFonts w:ascii="Times New Roman" w:hAnsi="Times New Roman" w:cs="Times New Roman"/>
        </w:rPr>
      </w:pPr>
      <w:r w:rsidRPr="00AD7AF8">
        <w:rPr>
          <w:rFonts w:ascii="Times New Roman" w:hAnsi="Times New Roman" w:cs="Times New Roman"/>
        </w:rPr>
        <w:t>Wykaz przepisów obowiązujących w Banku Spółdzielczym w Podegrodziu:</w:t>
      </w:r>
    </w:p>
    <w:p w14:paraId="30B2ADD9" w14:textId="77777777" w:rsidR="00264574" w:rsidRPr="00AD7AF8" w:rsidRDefault="00C33380" w:rsidP="008F63CA">
      <w:pPr>
        <w:pStyle w:val="Akapitzlist"/>
        <w:numPr>
          <w:ilvl w:val="0"/>
          <w:numId w:val="4"/>
        </w:numPr>
        <w:spacing w:line="240" w:lineRule="auto"/>
        <w:ind w:left="426" w:hanging="425"/>
        <w:jc w:val="both"/>
        <w:rPr>
          <w:rFonts w:ascii="Times New Roman" w:hAnsi="Times New Roman" w:cs="Times New Roman"/>
        </w:rPr>
      </w:pPr>
      <w:r>
        <w:rPr>
          <w:rFonts w:ascii="Times New Roman" w:hAnsi="Times New Roman" w:cs="Times New Roman"/>
        </w:rPr>
        <w:t xml:space="preserve">Strategia zarządzania poszczególnymi </w:t>
      </w:r>
      <w:r w:rsidR="00155FD4">
        <w:rPr>
          <w:rFonts w:ascii="Times New Roman" w:hAnsi="Times New Roman" w:cs="Times New Roman"/>
        </w:rPr>
        <w:t>rodzajami ryzyka</w:t>
      </w:r>
      <w:r w:rsidR="00264574" w:rsidRPr="00AD7AF8">
        <w:rPr>
          <w:rFonts w:ascii="Times New Roman" w:hAnsi="Times New Roman" w:cs="Times New Roman"/>
        </w:rPr>
        <w:t>;</w:t>
      </w:r>
    </w:p>
    <w:p w14:paraId="51C43B31" w14:textId="77777777" w:rsidR="00264574" w:rsidRPr="00AD7AF8" w:rsidRDefault="00155FD4" w:rsidP="008F63CA">
      <w:pPr>
        <w:pStyle w:val="Akapitzlist"/>
        <w:numPr>
          <w:ilvl w:val="0"/>
          <w:numId w:val="4"/>
        </w:numPr>
        <w:spacing w:line="240" w:lineRule="auto"/>
        <w:ind w:left="426" w:hanging="425"/>
        <w:jc w:val="both"/>
        <w:rPr>
          <w:rFonts w:ascii="Times New Roman" w:hAnsi="Times New Roman" w:cs="Times New Roman"/>
        </w:rPr>
      </w:pPr>
      <w:r>
        <w:rPr>
          <w:rFonts w:ascii="Times New Roman" w:hAnsi="Times New Roman" w:cs="Times New Roman"/>
        </w:rPr>
        <w:t>Instrukcja sporządzania i monitorowania planu ekonomiczno - finansowego</w:t>
      </w:r>
      <w:r w:rsidR="00264574" w:rsidRPr="00AD7AF8">
        <w:rPr>
          <w:rFonts w:ascii="Times New Roman" w:hAnsi="Times New Roman" w:cs="Times New Roman"/>
        </w:rPr>
        <w:t>;</w:t>
      </w:r>
    </w:p>
    <w:p w14:paraId="701FAD13" w14:textId="77777777" w:rsidR="00264574" w:rsidRPr="00AD7AF8" w:rsidRDefault="00264574" w:rsidP="008F63CA">
      <w:pPr>
        <w:pStyle w:val="Akapitzlist"/>
        <w:numPr>
          <w:ilvl w:val="0"/>
          <w:numId w:val="4"/>
        </w:numPr>
        <w:spacing w:line="240" w:lineRule="auto"/>
        <w:ind w:left="426" w:hanging="425"/>
        <w:jc w:val="both"/>
        <w:rPr>
          <w:rFonts w:ascii="Times New Roman" w:hAnsi="Times New Roman" w:cs="Times New Roman"/>
        </w:rPr>
      </w:pPr>
      <w:r w:rsidRPr="00AD7AF8">
        <w:rPr>
          <w:rFonts w:ascii="Times New Roman" w:hAnsi="Times New Roman" w:cs="Times New Roman"/>
        </w:rPr>
        <w:t>Instrukcja oceny adekwatności kapitałowej w Banku Spółdzielczym w Podegrodziu;</w:t>
      </w:r>
    </w:p>
    <w:p w14:paraId="0A3FAFC9" w14:textId="77777777" w:rsidR="00264574" w:rsidRPr="00AD7AF8" w:rsidRDefault="00264574" w:rsidP="008F63CA">
      <w:pPr>
        <w:pStyle w:val="Akapitzlist"/>
        <w:numPr>
          <w:ilvl w:val="0"/>
          <w:numId w:val="4"/>
        </w:numPr>
        <w:spacing w:line="240" w:lineRule="auto"/>
        <w:ind w:left="426" w:hanging="425"/>
        <w:jc w:val="both"/>
        <w:rPr>
          <w:rFonts w:ascii="Times New Roman" w:hAnsi="Times New Roman" w:cs="Times New Roman"/>
        </w:rPr>
      </w:pPr>
      <w:r w:rsidRPr="00AD7AF8">
        <w:rPr>
          <w:rFonts w:ascii="Times New Roman" w:hAnsi="Times New Roman" w:cs="Times New Roman"/>
        </w:rPr>
        <w:t>Instrukcja sporządzania i ogłaszania informacji dotyczącej adekwatności kapitałowej w Banku Spółdzielczym w Podegrodziu;</w:t>
      </w:r>
    </w:p>
    <w:p w14:paraId="48476B7D" w14:textId="77777777" w:rsidR="00264574" w:rsidRPr="00AD7AF8" w:rsidRDefault="00264574" w:rsidP="008F63CA">
      <w:pPr>
        <w:pStyle w:val="Akapitzlist"/>
        <w:numPr>
          <w:ilvl w:val="0"/>
          <w:numId w:val="4"/>
        </w:numPr>
        <w:spacing w:line="240" w:lineRule="auto"/>
        <w:ind w:left="426" w:hanging="425"/>
        <w:jc w:val="both"/>
        <w:rPr>
          <w:rFonts w:ascii="Times New Roman" w:hAnsi="Times New Roman" w:cs="Times New Roman"/>
        </w:rPr>
      </w:pPr>
      <w:r w:rsidRPr="00AD7AF8">
        <w:rPr>
          <w:rFonts w:ascii="Times New Roman" w:hAnsi="Times New Roman" w:cs="Times New Roman"/>
        </w:rPr>
        <w:t>Instrukcja sporządzania informacji zarządczej;</w:t>
      </w:r>
    </w:p>
    <w:p w14:paraId="76F38076" w14:textId="77777777" w:rsidR="00264574" w:rsidRDefault="00155FD4" w:rsidP="008F63CA">
      <w:pPr>
        <w:pStyle w:val="Akapitzlist"/>
        <w:numPr>
          <w:ilvl w:val="0"/>
          <w:numId w:val="4"/>
        </w:numPr>
        <w:spacing w:line="240" w:lineRule="auto"/>
        <w:ind w:left="426" w:hanging="425"/>
        <w:jc w:val="both"/>
        <w:rPr>
          <w:rFonts w:ascii="Times New Roman" w:hAnsi="Times New Roman" w:cs="Times New Roman"/>
        </w:rPr>
      </w:pPr>
      <w:r>
        <w:rPr>
          <w:rFonts w:ascii="Times New Roman" w:hAnsi="Times New Roman" w:cs="Times New Roman"/>
        </w:rPr>
        <w:t>Instrukcja opracowania i wdrażania kapitałowych planów awaryjnych</w:t>
      </w:r>
      <w:r w:rsidR="00264574" w:rsidRPr="00AD7AF8">
        <w:rPr>
          <w:rFonts w:ascii="Times New Roman" w:hAnsi="Times New Roman" w:cs="Times New Roman"/>
        </w:rPr>
        <w:t>;</w:t>
      </w:r>
    </w:p>
    <w:p w14:paraId="769417D7" w14:textId="77777777" w:rsidR="001E381C" w:rsidRDefault="001E381C" w:rsidP="008F63CA">
      <w:pPr>
        <w:pStyle w:val="Akapitzlist"/>
        <w:numPr>
          <w:ilvl w:val="0"/>
          <w:numId w:val="4"/>
        </w:numPr>
        <w:spacing w:line="240" w:lineRule="auto"/>
        <w:ind w:left="426" w:hanging="426"/>
        <w:jc w:val="both"/>
        <w:rPr>
          <w:rFonts w:ascii="Times New Roman" w:hAnsi="Times New Roman" w:cs="Times New Roman"/>
        </w:rPr>
      </w:pPr>
      <w:r w:rsidRPr="001E381C">
        <w:rPr>
          <w:rFonts w:ascii="Times New Roman" w:hAnsi="Times New Roman" w:cs="Times New Roman"/>
        </w:rPr>
        <w:t xml:space="preserve">Instrukcja </w:t>
      </w:r>
      <w:r w:rsidR="00155FD4">
        <w:rPr>
          <w:rFonts w:ascii="Times New Roman" w:hAnsi="Times New Roman" w:cs="Times New Roman"/>
        </w:rPr>
        <w:t>zarządzania ryzykiem walutowym;</w:t>
      </w:r>
    </w:p>
    <w:p w14:paraId="2A637F61" w14:textId="77777777" w:rsidR="00264574" w:rsidRPr="00405460" w:rsidRDefault="00405460" w:rsidP="008F63CA">
      <w:pPr>
        <w:pStyle w:val="Akapitzlist"/>
        <w:numPr>
          <w:ilvl w:val="0"/>
          <w:numId w:val="4"/>
        </w:numPr>
        <w:spacing w:line="240" w:lineRule="auto"/>
        <w:ind w:left="426" w:hanging="426"/>
        <w:jc w:val="both"/>
        <w:rPr>
          <w:rFonts w:ascii="Times New Roman" w:hAnsi="Times New Roman" w:cs="Times New Roman"/>
        </w:rPr>
      </w:pPr>
      <w:r w:rsidRPr="00405460">
        <w:rPr>
          <w:rFonts w:ascii="Times New Roman" w:hAnsi="Times New Roman" w:cs="Times New Roman"/>
        </w:rPr>
        <w:t xml:space="preserve">Instrukcja </w:t>
      </w:r>
      <w:r w:rsidR="00155FD4">
        <w:rPr>
          <w:rFonts w:ascii="Times New Roman" w:hAnsi="Times New Roman" w:cs="Times New Roman"/>
        </w:rPr>
        <w:t>zarządzania ryzykiem inwestycji finansowych;</w:t>
      </w:r>
    </w:p>
    <w:p w14:paraId="461A71D9" w14:textId="77777777" w:rsidR="00344C11" w:rsidRDefault="00264574" w:rsidP="008F63CA">
      <w:pPr>
        <w:pStyle w:val="Akapitzlist"/>
        <w:numPr>
          <w:ilvl w:val="0"/>
          <w:numId w:val="4"/>
        </w:numPr>
        <w:spacing w:line="240" w:lineRule="auto"/>
        <w:ind w:left="426" w:hanging="425"/>
        <w:jc w:val="both"/>
        <w:rPr>
          <w:rFonts w:ascii="Times New Roman" w:hAnsi="Times New Roman" w:cs="Times New Roman"/>
        </w:rPr>
      </w:pPr>
      <w:r w:rsidRPr="00AD7AF8">
        <w:rPr>
          <w:rFonts w:ascii="Times New Roman" w:hAnsi="Times New Roman" w:cs="Times New Roman"/>
        </w:rPr>
        <w:t xml:space="preserve">Instrukcja </w:t>
      </w:r>
      <w:r w:rsidR="00155FD4">
        <w:rPr>
          <w:rFonts w:ascii="Times New Roman" w:hAnsi="Times New Roman" w:cs="Times New Roman"/>
        </w:rPr>
        <w:t>zarządzania płynnością płatniczą;</w:t>
      </w:r>
    </w:p>
    <w:p w14:paraId="7F8E61DA" w14:textId="77777777" w:rsidR="00155FD4" w:rsidRPr="00155FD4" w:rsidRDefault="00155FD4" w:rsidP="008F63CA">
      <w:pPr>
        <w:pStyle w:val="Akapitzlist"/>
        <w:numPr>
          <w:ilvl w:val="0"/>
          <w:numId w:val="4"/>
        </w:numPr>
        <w:spacing w:line="240" w:lineRule="auto"/>
        <w:ind w:left="426" w:hanging="426"/>
        <w:jc w:val="both"/>
        <w:rPr>
          <w:rFonts w:ascii="Times New Roman" w:hAnsi="Times New Roman" w:cs="Times New Roman"/>
          <w:b/>
        </w:rPr>
      </w:pPr>
      <w:r w:rsidRPr="00AD7AF8">
        <w:rPr>
          <w:rFonts w:ascii="Times New Roman" w:hAnsi="Times New Roman" w:cs="Times New Roman"/>
        </w:rPr>
        <w:t>Instrukcja pomiaru, limitowania, raportowania i kontroli ryzyka stopy procentowej</w:t>
      </w:r>
      <w:r>
        <w:rPr>
          <w:rFonts w:ascii="Times New Roman" w:hAnsi="Times New Roman" w:cs="Times New Roman"/>
        </w:rPr>
        <w:t>;</w:t>
      </w:r>
    </w:p>
    <w:p w14:paraId="144CE81A" w14:textId="77777777" w:rsidR="00DA2565" w:rsidRPr="00AD7AF8" w:rsidRDefault="00DA2565"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Instrukcja bezpieczeństwa środowiska t</w:t>
      </w:r>
      <w:r w:rsidR="00155FD4">
        <w:rPr>
          <w:rFonts w:ascii="Times New Roman" w:hAnsi="Times New Roman" w:cs="Times New Roman"/>
        </w:rPr>
        <w:t>eleinformatycznego i informacji;</w:t>
      </w:r>
    </w:p>
    <w:p w14:paraId="6570E351" w14:textId="77777777" w:rsidR="00EE7FB9" w:rsidRPr="00155FD4" w:rsidRDefault="00344C11"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Instrukcja</w:t>
      </w:r>
      <w:r w:rsidR="007F15B9" w:rsidRPr="00AD7AF8">
        <w:rPr>
          <w:rFonts w:ascii="Times New Roman" w:hAnsi="Times New Roman" w:cs="Times New Roman"/>
        </w:rPr>
        <w:t xml:space="preserve"> zarządzania ryzykiem operacyjnym</w:t>
      </w:r>
      <w:r w:rsidR="00155FD4">
        <w:rPr>
          <w:rFonts w:ascii="Times New Roman" w:hAnsi="Times New Roman" w:cs="Times New Roman"/>
        </w:rPr>
        <w:t>;</w:t>
      </w:r>
    </w:p>
    <w:p w14:paraId="36CD8B45" w14:textId="77777777" w:rsidR="00FA0EAD" w:rsidRPr="00AD7AF8" w:rsidRDefault="00FA0EAD"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Instrukcja zarządzania ryzykiem braku zgodności</w:t>
      </w:r>
      <w:r w:rsidR="00155FD4">
        <w:rPr>
          <w:rFonts w:ascii="Times New Roman" w:hAnsi="Times New Roman" w:cs="Times New Roman"/>
        </w:rPr>
        <w:t>;</w:t>
      </w:r>
    </w:p>
    <w:p w14:paraId="06649EAD" w14:textId="77777777" w:rsidR="00FA0EAD" w:rsidRPr="00AD7AF8" w:rsidRDefault="00FA0EAD"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Instrukcja prawnych form zabezpieczenia ekspozycji kredytowych</w:t>
      </w:r>
      <w:r w:rsidR="00155FD4">
        <w:rPr>
          <w:rFonts w:ascii="Times New Roman" w:hAnsi="Times New Roman" w:cs="Times New Roman"/>
        </w:rPr>
        <w:t>;</w:t>
      </w:r>
    </w:p>
    <w:p w14:paraId="5D2806B2" w14:textId="77777777" w:rsidR="00C779BE" w:rsidRPr="00AD7AF8" w:rsidRDefault="00C779BE"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Instrukcja zarządzania ryzykiem inwestycji finansowych</w:t>
      </w:r>
      <w:r w:rsidR="00155FD4">
        <w:rPr>
          <w:rFonts w:ascii="Times New Roman" w:hAnsi="Times New Roman" w:cs="Times New Roman"/>
        </w:rPr>
        <w:t>;</w:t>
      </w:r>
    </w:p>
    <w:p w14:paraId="6395CF2D" w14:textId="77777777" w:rsidR="00FA0EAD" w:rsidRPr="00AD7AF8" w:rsidRDefault="00FA0EAD"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Polityka kapitałowa</w:t>
      </w:r>
      <w:r w:rsidR="00155FD4">
        <w:rPr>
          <w:rFonts w:ascii="Times New Roman" w:hAnsi="Times New Roman" w:cs="Times New Roman"/>
        </w:rPr>
        <w:t>;</w:t>
      </w:r>
    </w:p>
    <w:p w14:paraId="0539DC80" w14:textId="77777777" w:rsidR="00405460" w:rsidRPr="00405460" w:rsidRDefault="00405460" w:rsidP="008F63CA">
      <w:pPr>
        <w:pStyle w:val="Akapitzlist"/>
        <w:numPr>
          <w:ilvl w:val="0"/>
          <w:numId w:val="4"/>
        </w:numPr>
        <w:spacing w:line="240" w:lineRule="auto"/>
        <w:ind w:left="426" w:hanging="425"/>
        <w:jc w:val="both"/>
        <w:rPr>
          <w:rFonts w:ascii="Times New Roman" w:hAnsi="Times New Roman" w:cs="Times New Roman"/>
        </w:rPr>
      </w:pPr>
      <w:r w:rsidRPr="001E381C">
        <w:rPr>
          <w:rFonts w:ascii="Times New Roman" w:hAnsi="Times New Roman" w:cs="Times New Roman"/>
        </w:rPr>
        <w:t>Polityka informacyjna Banku Spółdzielczego w Podegrodziu dotycząca adekwatności kapitałowej;</w:t>
      </w:r>
    </w:p>
    <w:p w14:paraId="17CCC43D" w14:textId="77777777" w:rsidR="00FA0EAD" w:rsidRPr="00AD7AF8" w:rsidRDefault="00FA0EAD"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Polityka zarządzania ryzykiem kredytowym</w:t>
      </w:r>
      <w:r w:rsidR="00155FD4">
        <w:rPr>
          <w:rFonts w:ascii="Times New Roman" w:hAnsi="Times New Roman" w:cs="Times New Roman"/>
        </w:rPr>
        <w:t>;</w:t>
      </w:r>
    </w:p>
    <w:p w14:paraId="2591124E" w14:textId="77777777" w:rsidR="00FA0EAD" w:rsidRPr="00AD7AF8" w:rsidRDefault="00FA0EAD"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 xml:space="preserve">Polityka zarządzania </w:t>
      </w:r>
      <w:r w:rsidR="00DA2565" w:rsidRPr="00AD7AF8">
        <w:rPr>
          <w:rFonts w:ascii="Times New Roman" w:hAnsi="Times New Roman" w:cs="Times New Roman"/>
        </w:rPr>
        <w:t xml:space="preserve">zgodnością i </w:t>
      </w:r>
      <w:r w:rsidRPr="00AD7AF8">
        <w:rPr>
          <w:rFonts w:ascii="Times New Roman" w:hAnsi="Times New Roman" w:cs="Times New Roman"/>
        </w:rPr>
        <w:t>ryzykiem braku zgodności</w:t>
      </w:r>
      <w:r w:rsidR="00155FD4">
        <w:rPr>
          <w:rFonts w:ascii="Times New Roman" w:hAnsi="Times New Roman" w:cs="Times New Roman"/>
        </w:rPr>
        <w:t>;</w:t>
      </w:r>
    </w:p>
    <w:p w14:paraId="49781260" w14:textId="77777777" w:rsidR="00FA0EAD" w:rsidRPr="00AD7AF8" w:rsidRDefault="00FA0EAD"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Polityka zarządzania ryzykiem płynności</w:t>
      </w:r>
      <w:r w:rsidR="00155FD4">
        <w:rPr>
          <w:rFonts w:ascii="Times New Roman" w:hAnsi="Times New Roman" w:cs="Times New Roman"/>
        </w:rPr>
        <w:t>;</w:t>
      </w:r>
    </w:p>
    <w:p w14:paraId="1E65D720" w14:textId="77777777" w:rsidR="00FA0EAD" w:rsidRPr="00AD7AF8" w:rsidRDefault="00FA0EAD"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Polityka zarządzania ryzykiem rynkowym</w:t>
      </w:r>
      <w:r w:rsidR="00155FD4">
        <w:rPr>
          <w:rFonts w:ascii="Times New Roman" w:hAnsi="Times New Roman" w:cs="Times New Roman"/>
        </w:rPr>
        <w:t>;</w:t>
      </w:r>
    </w:p>
    <w:p w14:paraId="43FAAFD4" w14:textId="77777777" w:rsidR="00FA0EAD" w:rsidRPr="00AD7AF8" w:rsidRDefault="00FA0EAD"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Polityka zarządzania ryzykiem operacyjnym</w:t>
      </w:r>
      <w:r w:rsidR="00155FD4">
        <w:rPr>
          <w:rFonts w:ascii="Times New Roman" w:hAnsi="Times New Roman" w:cs="Times New Roman"/>
        </w:rPr>
        <w:t>;</w:t>
      </w:r>
    </w:p>
    <w:p w14:paraId="0338439E" w14:textId="77777777" w:rsidR="00C70690" w:rsidRPr="00AD7AF8" w:rsidRDefault="00C70690"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Polityka inwestycyjna</w:t>
      </w:r>
      <w:r w:rsidR="00155FD4">
        <w:rPr>
          <w:rFonts w:ascii="Times New Roman" w:hAnsi="Times New Roman" w:cs="Times New Roman"/>
        </w:rPr>
        <w:t>;</w:t>
      </w:r>
    </w:p>
    <w:p w14:paraId="2086B195" w14:textId="77777777" w:rsidR="00C70690" w:rsidRPr="00AD7AF8" w:rsidRDefault="001E381C" w:rsidP="008F63CA">
      <w:pPr>
        <w:pStyle w:val="Akapitzlist"/>
        <w:numPr>
          <w:ilvl w:val="0"/>
          <w:numId w:val="4"/>
        </w:numPr>
        <w:spacing w:line="240" w:lineRule="auto"/>
        <w:ind w:left="426" w:hanging="425"/>
        <w:jc w:val="both"/>
        <w:rPr>
          <w:rFonts w:ascii="Times New Roman" w:hAnsi="Times New Roman" w:cs="Times New Roman"/>
          <w:b/>
        </w:rPr>
      </w:pPr>
      <w:r>
        <w:rPr>
          <w:rFonts w:ascii="Times New Roman" w:hAnsi="Times New Roman" w:cs="Times New Roman"/>
        </w:rPr>
        <w:t>Polityka</w:t>
      </w:r>
      <w:r w:rsidR="00C70690" w:rsidRPr="00AD7AF8">
        <w:rPr>
          <w:rFonts w:ascii="Times New Roman" w:hAnsi="Times New Roman" w:cs="Times New Roman"/>
        </w:rPr>
        <w:t xml:space="preserve"> w zakresie bancassurance</w:t>
      </w:r>
      <w:r w:rsidR="00155FD4">
        <w:rPr>
          <w:rFonts w:ascii="Times New Roman" w:hAnsi="Times New Roman" w:cs="Times New Roman"/>
        </w:rPr>
        <w:t>;</w:t>
      </w:r>
    </w:p>
    <w:p w14:paraId="6A5768E9" w14:textId="77777777" w:rsidR="00C70690" w:rsidRPr="00AD7AF8" w:rsidRDefault="00C70690"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Polityka bezpieczeństwa danych osobowych</w:t>
      </w:r>
      <w:r w:rsidR="00155FD4">
        <w:rPr>
          <w:rFonts w:ascii="Times New Roman" w:hAnsi="Times New Roman" w:cs="Times New Roman"/>
        </w:rPr>
        <w:t>;</w:t>
      </w:r>
    </w:p>
    <w:p w14:paraId="3660A3F0" w14:textId="77777777" w:rsidR="00C70690" w:rsidRPr="00AD7AF8" w:rsidRDefault="00C70690"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Polityka bezpieczeństwa informacji</w:t>
      </w:r>
      <w:r w:rsidR="00155FD4">
        <w:rPr>
          <w:rFonts w:ascii="Times New Roman" w:hAnsi="Times New Roman" w:cs="Times New Roman"/>
        </w:rPr>
        <w:t>;</w:t>
      </w:r>
    </w:p>
    <w:p w14:paraId="347DFA3E" w14:textId="77777777" w:rsidR="00C70690" w:rsidRPr="001E381C" w:rsidRDefault="00C70690" w:rsidP="008F63CA">
      <w:pPr>
        <w:pStyle w:val="Akapitzlist"/>
        <w:numPr>
          <w:ilvl w:val="0"/>
          <w:numId w:val="4"/>
        </w:numPr>
        <w:spacing w:line="240" w:lineRule="auto"/>
        <w:ind w:left="426" w:hanging="425"/>
        <w:jc w:val="both"/>
        <w:rPr>
          <w:rFonts w:ascii="Times New Roman" w:hAnsi="Times New Roman" w:cs="Times New Roman"/>
          <w:b/>
        </w:rPr>
      </w:pPr>
      <w:r w:rsidRPr="00AD7AF8">
        <w:rPr>
          <w:rFonts w:ascii="Times New Roman" w:hAnsi="Times New Roman" w:cs="Times New Roman"/>
        </w:rPr>
        <w:t>Polityka zarządzania ryzykiem powierzania czynności podmiotom zewnętrznym</w:t>
      </w:r>
      <w:r w:rsidR="00155FD4">
        <w:rPr>
          <w:rFonts w:ascii="Times New Roman" w:hAnsi="Times New Roman" w:cs="Times New Roman"/>
        </w:rPr>
        <w:t>;</w:t>
      </w:r>
    </w:p>
    <w:p w14:paraId="5FF5DE02" w14:textId="77777777" w:rsidR="003E26F9" w:rsidRDefault="001E381C" w:rsidP="008F63CA">
      <w:pPr>
        <w:pStyle w:val="Akapitzlist"/>
        <w:numPr>
          <w:ilvl w:val="0"/>
          <w:numId w:val="4"/>
        </w:numPr>
        <w:spacing w:line="240" w:lineRule="auto"/>
        <w:ind w:left="426" w:hanging="426"/>
        <w:jc w:val="both"/>
        <w:rPr>
          <w:rFonts w:ascii="Times New Roman" w:hAnsi="Times New Roman" w:cs="Times New Roman"/>
        </w:rPr>
      </w:pPr>
      <w:r w:rsidRPr="00AA767B">
        <w:rPr>
          <w:rFonts w:ascii="Times New Roman" w:hAnsi="Times New Roman" w:cs="Times New Roman"/>
        </w:rPr>
        <w:t>Regulamin kontroli wewnętrznej i audytu</w:t>
      </w:r>
      <w:r w:rsidR="00155FD4">
        <w:rPr>
          <w:rFonts w:ascii="Times New Roman" w:hAnsi="Times New Roman" w:cs="Times New Roman"/>
        </w:rPr>
        <w:t>;</w:t>
      </w:r>
    </w:p>
    <w:p w14:paraId="7652E97C" w14:textId="77777777" w:rsidR="00155FD4" w:rsidRDefault="00155FD4" w:rsidP="008F63CA">
      <w:pPr>
        <w:pStyle w:val="Akapitzlist"/>
        <w:numPr>
          <w:ilvl w:val="0"/>
          <w:numId w:val="4"/>
        </w:numPr>
        <w:spacing w:line="240" w:lineRule="auto"/>
        <w:ind w:left="426" w:hanging="426"/>
        <w:jc w:val="both"/>
        <w:rPr>
          <w:rFonts w:ascii="Times New Roman" w:hAnsi="Times New Roman" w:cs="Times New Roman"/>
        </w:rPr>
      </w:pPr>
      <w:r>
        <w:rPr>
          <w:rFonts w:ascii="Times New Roman" w:hAnsi="Times New Roman" w:cs="Times New Roman"/>
        </w:rPr>
        <w:t>Zasady zarządzania ryzykiem koncentracji przez uczestników Systemu Ochrony Zrzeszenia BPS;</w:t>
      </w:r>
    </w:p>
    <w:p w14:paraId="65D4366D" w14:textId="77777777" w:rsidR="00155FD4" w:rsidRPr="00AA767B" w:rsidRDefault="00155FD4" w:rsidP="008F63CA">
      <w:pPr>
        <w:pStyle w:val="Akapitzlist"/>
        <w:numPr>
          <w:ilvl w:val="0"/>
          <w:numId w:val="4"/>
        </w:numPr>
        <w:spacing w:line="240" w:lineRule="auto"/>
        <w:ind w:left="426" w:hanging="426"/>
        <w:jc w:val="both"/>
        <w:rPr>
          <w:rFonts w:ascii="Times New Roman" w:hAnsi="Times New Roman" w:cs="Times New Roman"/>
        </w:rPr>
      </w:pPr>
      <w:r>
        <w:rPr>
          <w:rFonts w:ascii="Times New Roman" w:hAnsi="Times New Roman" w:cs="Times New Roman"/>
        </w:rPr>
        <w:t>Polityka zarządzania ryzykiem walutowym.</w:t>
      </w:r>
    </w:p>
    <w:p w14:paraId="1938E185" w14:textId="77777777" w:rsidR="00AA767B" w:rsidRDefault="00AA767B" w:rsidP="00AA767B">
      <w:pPr>
        <w:spacing w:line="240" w:lineRule="auto"/>
        <w:jc w:val="both"/>
        <w:rPr>
          <w:rFonts w:ascii="Times New Roman" w:hAnsi="Times New Roman" w:cs="Times New Roman"/>
          <w:b/>
        </w:rPr>
      </w:pPr>
      <w:r w:rsidRPr="005C2CE0">
        <w:rPr>
          <w:rFonts w:ascii="Times New Roman" w:hAnsi="Times New Roman" w:cs="Times New Roman"/>
          <w:b/>
        </w:rPr>
        <w:t>Wszystkie regulaminy, procedury i instrukcje są do wglądu u Prezesa Zarządu Banku Spółdzielczego w Podegrodziu</w:t>
      </w:r>
      <w:r w:rsidR="005E7617">
        <w:rPr>
          <w:rFonts w:ascii="Times New Roman" w:hAnsi="Times New Roman" w:cs="Times New Roman"/>
          <w:b/>
        </w:rPr>
        <w:t>.</w:t>
      </w:r>
    </w:p>
    <w:p w14:paraId="363070B3" w14:textId="77777777" w:rsidR="005E7617" w:rsidRPr="005C2CE0" w:rsidRDefault="005E7617" w:rsidP="00AA767B">
      <w:pPr>
        <w:spacing w:line="240" w:lineRule="auto"/>
        <w:jc w:val="both"/>
        <w:rPr>
          <w:rFonts w:ascii="Times New Roman" w:hAnsi="Times New Roman" w:cs="Times New Roman"/>
          <w:b/>
        </w:rPr>
      </w:pPr>
    </w:p>
    <w:p w14:paraId="7B606481" w14:textId="77777777" w:rsidR="00EE7FB9" w:rsidRPr="00AD7AF8" w:rsidRDefault="0038056E" w:rsidP="00AD7AF8">
      <w:pPr>
        <w:pStyle w:val="Akapitzlist"/>
        <w:ind w:left="0"/>
        <w:jc w:val="center"/>
        <w:rPr>
          <w:rFonts w:ascii="Times New Roman" w:hAnsi="Times New Roman" w:cs="Times New Roman"/>
          <w:b/>
        </w:rPr>
      </w:pPr>
      <w:r>
        <w:rPr>
          <w:rFonts w:ascii="Times New Roman" w:hAnsi="Times New Roman" w:cs="Times New Roman"/>
          <w:b/>
        </w:rPr>
        <w:t>III. OPIS STRUK</w:t>
      </w:r>
      <w:r w:rsidR="00AA788D" w:rsidRPr="00AD7AF8">
        <w:rPr>
          <w:rFonts w:ascii="Times New Roman" w:hAnsi="Times New Roman" w:cs="Times New Roman"/>
          <w:b/>
        </w:rPr>
        <w:t>TURY ORGANIZACYJNEJ  W ZAKRESIE ZARZĄDZANIA RYZYKAMI</w:t>
      </w:r>
    </w:p>
    <w:p w14:paraId="3BFCB521" w14:textId="77777777" w:rsidR="00FD08BE" w:rsidRPr="00AD7AF8" w:rsidRDefault="00FD08BE" w:rsidP="00AA788D">
      <w:pPr>
        <w:pStyle w:val="Akapitzlist"/>
        <w:ind w:left="1080"/>
        <w:jc w:val="center"/>
        <w:rPr>
          <w:rFonts w:ascii="Times New Roman" w:hAnsi="Times New Roman" w:cs="Times New Roman"/>
          <w:b/>
        </w:rPr>
      </w:pPr>
    </w:p>
    <w:p w14:paraId="68BD8E06" w14:textId="77777777" w:rsidR="004539F1" w:rsidRPr="00AD7AF8" w:rsidRDefault="00842B82" w:rsidP="00FD08BE">
      <w:pPr>
        <w:pStyle w:val="Akapitzlist"/>
        <w:ind w:left="0"/>
        <w:jc w:val="both"/>
        <w:rPr>
          <w:rFonts w:ascii="Times New Roman" w:hAnsi="Times New Roman" w:cs="Times New Roman"/>
          <w:b/>
        </w:rPr>
      </w:pPr>
      <w:r w:rsidRPr="00AD7AF8">
        <w:rPr>
          <w:rFonts w:ascii="Times New Roman" w:hAnsi="Times New Roman" w:cs="Times New Roman"/>
          <w:b/>
        </w:rPr>
        <w:t>Struktura organizacyjna w zakresie zarządzania ryzykami</w:t>
      </w:r>
    </w:p>
    <w:p w14:paraId="4AFE709E" w14:textId="19DBA68B" w:rsidR="00842B82" w:rsidRPr="00AD7AF8" w:rsidRDefault="00842B82" w:rsidP="00FD08BE">
      <w:pPr>
        <w:pStyle w:val="Akapitzlist"/>
        <w:ind w:left="0"/>
        <w:jc w:val="both"/>
        <w:rPr>
          <w:rFonts w:ascii="Times New Roman" w:hAnsi="Times New Roman" w:cs="Times New Roman"/>
        </w:rPr>
      </w:pPr>
      <w:r w:rsidRPr="00AD7AF8">
        <w:rPr>
          <w:rFonts w:ascii="Times New Roman" w:hAnsi="Times New Roman" w:cs="Times New Roman"/>
        </w:rPr>
        <w:t>Podstawowe zasady zarządzania poszczególnymi rodzajami ryzyka reguluje „Strategia zarządzania poszczególnymi rodzajami ryzyka w Banku Spółdzielczym w Podegrodziu” oraz zatwierdzone przez Zarząd Banku instrukcje i regulaminy obejmujące obszary ryzyka, które Ba</w:t>
      </w:r>
      <w:r w:rsidR="00AB455A">
        <w:rPr>
          <w:rFonts w:ascii="Times New Roman" w:hAnsi="Times New Roman" w:cs="Times New Roman"/>
        </w:rPr>
        <w:t>n</w:t>
      </w:r>
      <w:r w:rsidRPr="00AD7AF8">
        <w:rPr>
          <w:rFonts w:ascii="Times New Roman" w:hAnsi="Times New Roman" w:cs="Times New Roman"/>
        </w:rPr>
        <w:t>k uznał za istotne</w:t>
      </w:r>
    </w:p>
    <w:p w14:paraId="1E334194" w14:textId="77777777" w:rsidR="00842B82" w:rsidRDefault="00842B82" w:rsidP="00FD08BE">
      <w:pPr>
        <w:pStyle w:val="Akapitzlist"/>
        <w:ind w:left="0"/>
        <w:jc w:val="both"/>
        <w:rPr>
          <w:rFonts w:ascii="Times New Roman" w:hAnsi="Times New Roman" w:cs="Times New Roman"/>
        </w:rPr>
      </w:pPr>
      <w:r w:rsidRPr="00AD7AF8">
        <w:rPr>
          <w:rFonts w:ascii="Times New Roman" w:hAnsi="Times New Roman" w:cs="Times New Roman"/>
        </w:rPr>
        <w:t xml:space="preserve">W procesie zarządzania ryzykiem w Banku Spółdzielczym </w:t>
      </w:r>
      <w:r w:rsidR="00083F7C">
        <w:rPr>
          <w:rFonts w:ascii="Times New Roman" w:hAnsi="Times New Roman" w:cs="Times New Roman"/>
        </w:rPr>
        <w:t xml:space="preserve">uczestniczą następujące organy </w:t>
      </w:r>
      <w:r w:rsidRPr="00AD7AF8">
        <w:rPr>
          <w:rFonts w:ascii="Times New Roman" w:hAnsi="Times New Roman" w:cs="Times New Roman"/>
        </w:rPr>
        <w:t>i komórki organizacyjne:</w:t>
      </w:r>
    </w:p>
    <w:tbl>
      <w:tblPr>
        <w:tblStyle w:val="Tabela-Siatka"/>
        <w:tblW w:w="9782" w:type="dxa"/>
        <w:tblInd w:w="-318" w:type="dxa"/>
        <w:tblLook w:val="04A0" w:firstRow="1" w:lastRow="0" w:firstColumn="1" w:lastColumn="0" w:noHBand="0" w:noVBand="1"/>
      </w:tblPr>
      <w:tblGrid>
        <w:gridCol w:w="2223"/>
        <w:gridCol w:w="7559"/>
      </w:tblGrid>
      <w:tr w:rsidR="00842B82" w:rsidRPr="00083F7C" w14:paraId="1ABF33C7" w14:textId="77777777" w:rsidTr="00FD08BE">
        <w:tc>
          <w:tcPr>
            <w:tcW w:w="2223" w:type="dxa"/>
          </w:tcPr>
          <w:p w14:paraId="2F679EFD" w14:textId="77777777" w:rsidR="00842B82" w:rsidRPr="00083F7C" w:rsidRDefault="00842B82" w:rsidP="00A63F9D">
            <w:pPr>
              <w:pStyle w:val="Akapitzlist"/>
              <w:ind w:left="0"/>
              <w:jc w:val="both"/>
              <w:rPr>
                <w:rFonts w:ascii="Times New Roman" w:hAnsi="Times New Roman" w:cs="Times New Roman"/>
                <w:sz w:val="20"/>
                <w:szCs w:val="20"/>
              </w:rPr>
            </w:pPr>
          </w:p>
        </w:tc>
        <w:tc>
          <w:tcPr>
            <w:tcW w:w="7559" w:type="dxa"/>
          </w:tcPr>
          <w:p w14:paraId="354B09AE" w14:textId="77777777" w:rsidR="00842B82" w:rsidRPr="00083F7C" w:rsidRDefault="00842B82" w:rsidP="00A63F9D">
            <w:pPr>
              <w:pStyle w:val="Akapitzlist"/>
              <w:ind w:left="0"/>
              <w:jc w:val="both"/>
              <w:rPr>
                <w:rFonts w:ascii="Times New Roman" w:hAnsi="Times New Roman" w:cs="Times New Roman"/>
                <w:b/>
                <w:sz w:val="20"/>
                <w:szCs w:val="20"/>
              </w:rPr>
            </w:pPr>
            <w:r w:rsidRPr="00083F7C">
              <w:rPr>
                <w:rFonts w:ascii="Times New Roman" w:hAnsi="Times New Roman" w:cs="Times New Roman"/>
                <w:b/>
                <w:sz w:val="20"/>
                <w:szCs w:val="20"/>
              </w:rPr>
              <w:t>Zadania poszczególnych podmiotów</w:t>
            </w:r>
          </w:p>
        </w:tc>
      </w:tr>
      <w:tr w:rsidR="00842B82" w:rsidRPr="00083F7C" w14:paraId="60447F02" w14:textId="77777777" w:rsidTr="00FD08BE">
        <w:tc>
          <w:tcPr>
            <w:tcW w:w="2223" w:type="dxa"/>
          </w:tcPr>
          <w:p w14:paraId="34320B6C" w14:textId="77777777" w:rsidR="00842B82" w:rsidRPr="00083F7C" w:rsidRDefault="00842B82" w:rsidP="00A63F9D">
            <w:pPr>
              <w:pStyle w:val="Akapitzlist"/>
              <w:ind w:left="0"/>
              <w:jc w:val="both"/>
              <w:rPr>
                <w:rFonts w:ascii="Times New Roman" w:hAnsi="Times New Roman" w:cs="Times New Roman"/>
                <w:b/>
                <w:sz w:val="20"/>
                <w:szCs w:val="20"/>
              </w:rPr>
            </w:pPr>
            <w:r w:rsidRPr="00083F7C">
              <w:rPr>
                <w:rFonts w:ascii="Times New Roman" w:hAnsi="Times New Roman" w:cs="Times New Roman"/>
                <w:b/>
                <w:sz w:val="20"/>
                <w:szCs w:val="20"/>
              </w:rPr>
              <w:t>Rada Nadzorcza</w:t>
            </w:r>
          </w:p>
        </w:tc>
        <w:tc>
          <w:tcPr>
            <w:tcW w:w="7559" w:type="dxa"/>
          </w:tcPr>
          <w:p w14:paraId="7EECF590" w14:textId="77777777" w:rsidR="00842B82" w:rsidRDefault="00CA12DB" w:rsidP="003C3612">
            <w:pPr>
              <w:pStyle w:val="Akapitzlist"/>
              <w:ind w:left="0"/>
              <w:jc w:val="both"/>
              <w:rPr>
                <w:rFonts w:ascii="Times New Roman" w:hAnsi="Times New Roman" w:cs="Times New Roman"/>
                <w:sz w:val="20"/>
                <w:szCs w:val="20"/>
              </w:rPr>
            </w:pPr>
            <w:r>
              <w:rPr>
                <w:rFonts w:ascii="Times New Roman" w:hAnsi="Times New Roman" w:cs="Times New Roman"/>
                <w:sz w:val="20"/>
                <w:szCs w:val="20"/>
              </w:rPr>
              <w:t xml:space="preserve">Sprawuje nadzór </w:t>
            </w:r>
            <w:r w:rsidR="00CE23B3">
              <w:rPr>
                <w:rFonts w:ascii="Times New Roman" w:hAnsi="Times New Roman" w:cs="Times New Roman"/>
                <w:sz w:val="20"/>
                <w:szCs w:val="20"/>
              </w:rPr>
              <w:t>nad wprowadzeniem systemu zarządzania ryzykiem oraz ocenia adekwatność i skuteczność tego systemu, w szczególności poprzez:</w:t>
            </w:r>
          </w:p>
          <w:p w14:paraId="63959284" w14:textId="77777777" w:rsidR="00CE23B3" w:rsidRDefault="00CE23B3"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zatwierdzenie określonego przez Zarząd banku w Strategii działania akceptowalnego (apetyt na ryzyko) ogólnego poziomu ryzyka (profil ryzyka) oraz monitorowanie jego przestrzegania;</w:t>
            </w:r>
          </w:p>
          <w:p w14:paraId="7C22BFDF" w14:textId="77777777" w:rsidR="00CE23B3" w:rsidRDefault="00CE23B3"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zatwierdzenie przyjętych przez Zarząd banku Strategii zarządzania poszczególnymi rodzajami ryzyka oraz monitorowanie jej przestrzegania;</w:t>
            </w:r>
          </w:p>
          <w:p w14:paraId="5C27B9C2" w14:textId="77777777" w:rsidR="00CE23B3" w:rsidRDefault="00CE23B3"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nadzór nad opracowaniem, przyjęciem i wdrożeniem polityk i procedur , na podstawie których funkcjonować ma w banku system zarządzania ryzykiem;</w:t>
            </w:r>
          </w:p>
          <w:p w14:paraId="7B0E291B" w14:textId="77777777" w:rsidR="00CE23B3" w:rsidRDefault="00CE23B3"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nadzór nad wykonywaniem zadań przez członków zarządu</w:t>
            </w:r>
            <w:r w:rsidR="006537AD">
              <w:rPr>
                <w:rFonts w:ascii="Times New Roman" w:hAnsi="Times New Roman" w:cs="Times New Roman"/>
                <w:sz w:val="20"/>
                <w:szCs w:val="20"/>
              </w:rPr>
              <w:t>;</w:t>
            </w:r>
          </w:p>
          <w:p w14:paraId="694BE4A5" w14:textId="77777777" w:rsidR="006537AD" w:rsidRDefault="006537AD"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określenie zasad raportowania do  rady nadzorczej o rodzajach i wielkości ryzyka w działalności, po uprzednim przedstawieniu propozycji przez zarząd, w sposób umożliwiający nadzorowanie systemu zarządzania ryzykiem w banku;</w:t>
            </w:r>
          </w:p>
          <w:p w14:paraId="1F8F8741" w14:textId="77777777" w:rsidR="006537AD" w:rsidRPr="00083F7C" w:rsidRDefault="00A57155"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coroczną ocenę adekwatnoś</w:t>
            </w:r>
            <w:r w:rsidR="006537AD">
              <w:rPr>
                <w:rFonts w:ascii="Times New Roman" w:hAnsi="Times New Roman" w:cs="Times New Roman"/>
                <w:sz w:val="20"/>
                <w:szCs w:val="20"/>
              </w:rPr>
              <w:t>ci i skuteczności</w:t>
            </w:r>
            <w:r>
              <w:rPr>
                <w:rFonts w:ascii="Times New Roman" w:hAnsi="Times New Roman" w:cs="Times New Roman"/>
                <w:sz w:val="20"/>
                <w:szCs w:val="20"/>
              </w:rPr>
              <w:t xml:space="preserve"> systemu zarządzania ryzykiem</w:t>
            </w:r>
            <w:r w:rsidR="006537AD">
              <w:rPr>
                <w:rFonts w:ascii="Times New Roman" w:hAnsi="Times New Roman" w:cs="Times New Roman"/>
                <w:sz w:val="20"/>
                <w:szCs w:val="20"/>
              </w:rPr>
              <w:t xml:space="preserve"> </w:t>
            </w:r>
            <w:r>
              <w:rPr>
                <w:rFonts w:ascii="Times New Roman" w:hAnsi="Times New Roman" w:cs="Times New Roman"/>
                <w:sz w:val="20"/>
                <w:szCs w:val="20"/>
              </w:rPr>
              <w:t>.</w:t>
            </w:r>
          </w:p>
        </w:tc>
      </w:tr>
      <w:tr w:rsidR="00842B82" w:rsidRPr="00083F7C" w14:paraId="7BEBBC14" w14:textId="77777777" w:rsidTr="00FD08BE">
        <w:tc>
          <w:tcPr>
            <w:tcW w:w="2223" w:type="dxa"/>
          </w:tcPr>
          <w:p w14:paraId="3EC96AFC" w14:textId="77777777" w:rsidR="00842B82" w:rsidRPr="00083F7C" w:rsidRDefault="00842B82" w:rsidP="00A63F9D">
            <w:pPr>
              <w:pStyle w:val="Akapitzlist"/>
              <w:ind w:left="0"/>
              <w:jc w:val="both"/>
              <w:rPr>
                <w:rFonts w:ascii="Times New Roman" w:hAnsi="Times New Roman" w:cs="Times New Roman"/>
                <w:b/>
                <w:sz w:val="20"/>
                <w:szCs w:val="20"/>
              </w:rPr>
            </w:pPr>
            <w:r w:rsidRPr="00083F7C">
              <w:rPr>
                <w:rFonts w:ascii="Times New Roman" w:hAnsi="Times New Roman" w:cs="Times New Roman"/>
                <w:b/>
                <w:sz w:val="20"/>
                <w:szCs w:val="20"/>
              </w:rPr>
              <w:t>Zarząd Banku</w:t>
            </w:r>
          </w:p>
        </w:tc>
        <w:tc>
          <w:tcPr>
            <w:tcW w:w="7559" w:type="dxa"/>
          </w:tcPr>
          <w:p w14:paraId="501A17AB" w14:textId="77777777" w:rsidR="00842B82" w:rsidRDefault="00A57155" w:rsidP="00112A3E">
            <w:pPr>
              <w:pStyle w:val="Akapitzlist"/>
              <w:ind w:left="0"/>
              <w:jc w:val="both"/>
              <w:rPr>
                <w:rFonts w:ascii="Times New Roman" w:hAnsi="Times New Roman" w:cs="Times New Roman"/>
                <w:sz w:val="20"/>
                <w:szCs w:val="20"/>
              </w:rPr>
            </w:pPr>
            <w:r>
              <w:rPr>
                <w:rFonts w:ascii="Times New Roman" w:hAnsi="Times New Roman" w:cs="Times New Roman"/>
                <w:sz w:val="20"/>
                <w:szCs w:val="20"/>
              </w:rPr>
              <w:t>Projektuje, wprowadza oraz zapewnia działanie systemu zarządzania ryzykiem, w szczególności przez:</w:t>
            </w:r>
          </w:p>
          <w:p w14:paraId="140AD7F6" w14:textId="77777777"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określenie bieżącej i przyszłej gotowości banku do podejmowania ryzyka;</w:t>
            </w:r>
          </w:p>
          <w:p w14:paraId="7F0BADDD" w14:textId="77777777"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opracowywanie i przyjmowanie strategii zarządzania ryzykiem;</w:t>
            </w:r>
          </w:p>
          <w:p w14:paraId="7E19EBA5" w14:textId="77777777"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wprowadzanie podziału realizowanych w banku zadań, zapewniającego niezależność zarządzania  ryzykiem na pierwszym poziomie, od zarządzania na drugim poziomie;</w:t>
            </w:r>
          </w:p>
          <w:p w14:paraId="43721C97" w14:textId="77777777"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nadzorowanie zarządzania ryzykiem na pierwszymi i drugim poziomie ;</w:t>
            </w:r>
          </w:p>
          <w:p w14:paraId="0BBFAC3E" w14:textId="77777777"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opracowywanie i akceptowanie polityk oraz zapewnianie wdrożenia procedur, na podstawie których funkcjonować ma w banku system zarządzania ryzykiem, zgodnie z przyjętymi zasadami legislacji wewnętrznej, oraz monitorowanie ich przestr</w:t>
            </w:r>
            <w:r w:rsidR="00FF61B7">
              <w:rPr>
                <w:rFonts w:ascii="Times New Roman" w:hAnsi="Times New Roman" w:cs="Times New Roman"/>
                <w:sz w:val="20"/>
                <w:szCs w:val="20"/>
              </w:rPr>
              <w:t>z</w:t>
            </w:r>
            <w:r>
              <w:rPr>
                <w:rFonts w:ascii="Times New Roman" w:hAnsi="Times New Roman" w:cs="Times New Roman"/>
                <w:sz w:val="20"/>
                <w:szCs w:val="20"/>
              </w:rPr>
              <w:t>egania</w:t>
            </w:r>
            <w:r w:rsidR="00FF61B7">
              <w:rPr>
                <w:rFonts w:ascii="Times New Roman" w:hAnsi="Times New Roman" w:cs="Times New Roman"/>
                <w:sz w:val="20"/>
                <w:szCs w:val="20"/>
              </w:rPr>
              <w:t>;</w:t>
            </w:r>
          </w:p>
          <w:p w14:paraId="533F82C4" w14:textId="77777777" w:rsidR="00FF61B7" w:rsidRDefault="003E71D3"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nadzorowanie wielkości i profilu ryzyka w banku;</w:t>
            </w:r>
          </w:p>
          <w:p w14:paraId="4688748A" w14:textId="1A90D932" w:rsidR="003E71D3" w:rsidRPr="00083F7C" w:rsidRDefault="003E71D3"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ustanawianie zasad raportowania prze</w:t>
            </w:r>
            <w:r w:rsidR="00AB455A">
              <w:rPr>
                <w:rFonts w:ascii="Times New Roman" w:hAnsi="Times New Roman" w:cs="Times New Roman"/>
                <w:sz w:val="20"/>
                <w:szCs w:val="20"/>
              </w:rPr>
              <w:t>z</w:t>
            </w:r>
            <w:r>
              <w:rPr>
                <w:rFonts w:ascii="Times New Roman" w:hAnsi="Times New Roman" w:cs="Times New Roman"/>
                <w:sz w:val="20"/>
                <w:szCs w:val="20"/>
              </w:rPr>
              <w:t xml:space="preserve"> komórki organizacyjne oraz stanowiska organizacyjne banku o rodzajach i wielkości ryzyka w działalności, w sposób </w:t>
            </w:r>
            <w:r w:rsidR="00FC06DD">
              <w:rPr>
                <w:rFonts w:ascii="Times New Roman" w:hAnsi="Times New Roman" w:cs="Times New Roman"/>
                <w:sz w:val="20"/>
                <w:szCs w:val="20"/>
              </w:rPr>
              <w:t>umożliwiający monitorowanie poziomu ryzyka w banku.</w:t>
            </w:r>
          </w:p>
        </w:tc>
      </w:tr>
      <w:tr w:rsidR="0015626D" w:rsidRPr="00083F7C" w14:paraId="0F775AEF" w14:textId="77777777" w:rsidTr="00FD08BE">
        <w:tc>
          <w:tcPr>
            <w:tcW w:w="2223" w:type="dxa"/>
          </w:tcPr>
          <w:p w14:paraId="1D9B4554" w14:textId="77777777" w:rsidR="0015626D" w:rsidRPr="00083F7C" w:rsidRDefault="0015626D" w:rsidP="00A63F9D">
            <w:pPr>
              <w:pStyle w:val="Akapitzlist"/>
              <w:ind w:left="0"/>
              <w:jc w:val="both"/>
              <w:rPr>
                <w:rFonts w:ascii="Times New Roman" w:hAnsi="Times New Roman" w:cs="Times New Roman"/>
                <w:b/>
                <w:sz w:val="20"/>
                <w:szCs w:val="20"/>
              </w:rPr>
            </w:pPr>
            <w:r>
              <w:rPr>
                <w:rFonts w:ascii="Times New Roman" w:hAnsi="Times New Roman" w:cs="Times New Roman"/>
                <w:b/>
                <w:sz w:val="20"/>
                <w:szCs w:val="20"/>
              </w:rPr>
              <w:t>Prezes Zarządu</w:t>
            </w:r>
          </w:p>
        </w:tc>
        <w:tc>
          <w:tcPr>
            <w:tcW w:w="7559" w:type="dxa"/>
          </w:tcPr>
          <w:p w14:paraId="68BF56F1" w14:textId="474E5ADA" w:rsidR="0015626D" w:rsidRDefault="0015626D" w:rsidP="00112A3E">
            <w:pPr>
              <w:pStyle w:val="Akapitzlist"/>
              <w:ind w:left="0"/>
              <w:jc w:val="both"/>
              <w:rPr>
                <w:rFonts w:ascii="Times New Roman" w:hAnsi="Times New Roman" w:cs="Times New Roman"/>
                <w:sz w:val="20"/>
                <w:szCs w:val="20"/>
              </w:rPr>
            </w:pPr>
            <w:r>
              <w:rPr>
                <w:rFonts w:ascii="Times New Roman" w:hAnsi="Times New Roman" w:cs="Times New Roman"/>
                <w:sz w:val="20"/>
                <w:szCs w:val="20"/>
              </w:rPr>
              <w:t xml:space="preserve">Odpowiada za dostarczenie Radzie </w:t>
            </w:r>
            <w:r w:rsidR="00AB455A">
              <w:rPr>
                <w:rFonts w:ascii="Times New Roman" w:hAnsi="Times New Roman" w:cs="Times New Roman"/>
                <w:sz w:val="20"/>
                <w:szCs w:val="20"/>
              </w:rPr>
              <w:t>N</w:t>
            </w:r>
            <w:r>
              <w:rPr>
                <w:rFonts w:ascii="Times New Roman" w:hAnsi="Times New Roman" w:cs="Times New Roman"/>
                <w:sz w:val="20"/>
                <w:szCs w:val="20"/>
              </w:rPr>
              <w:t xml:space="preserve">adzorczej i </w:t>
            </w:r>
            <w:r w:rsidR="00AB455A">
              <w:rPr>
                <w:rFonts w:ascii="Times New Roman" w:hAnsi="Times New Roman" w:cs="Times New Roman"/>
                <w:sz w:val="20"/>
                <w:szCs w:val="20"/>
              </w:rPr>
              <w:t>Z</w:t>
            </w:r>
            <w:r>
              <w:rPr>
                <w:rFonts w:ascii="Times New Roman" w:hAnsi="Times New Roman" w:cs="Times New Roman"/>
                <w:sz w:val="20"/>
                <w:szCs w:val="20"/>
              </w:rPr>
              <w:t>arządowi rzetelnych sprawozdań w zakresie zarządzania ryzykiem istotnym.</w:t>
            </w:r>
          </w:p>
        </w:tc>
      </w:tr>
      <w:tr w:rsidR="0015626D" w:rsidRPr="00083F7C" w14:paraId="6AFC5C49" w14:textId="77777777" w:rsidTr="00FD08BE">
        <w:tc>
          <w:tcPr>
            <w:tcW w:w="2223" w:type="dxa"/>
          </w:tcPr>
          <w:p w14:paraId="70E82E34" w14:textId="77777777" w:rsidR="0015626D" w:rsidRDefault="0015626D" w:rsidP="0015626D">
            <w:pPr>
              <w:pStyle w:val="Akapitzlist"/>
              <w:ind w:left="0"/>
              <w:rPr>
                <w:rFonts w:ascii="Times New Roman" w:hAnsi="Times New Roman" w:cs="Times New Roman"/>
                <w:b/>
                <w:sz w:val="20"/>
                <w:szCs w:val="20"/>
              </w:rPr>
            </w:pPr>
            <w:r>
              <w:rPr>
                <w:rFonts w:ascii="Times New Roman" w:hAnsi="Times New Roman" w:cs="Times New Roman"/>
                <w:b/>
                <w:sz w:val="20"/>
                <w:szCs w:val="20"/>
              </w:rPr>
              <w:t>Stanowisko ds. zgodności</w:t>
            </w:r>
          </w:p>
        </w:tc>
        <w:tc>
          <w:tcPr>
            <w:tcW w:w="7559" w:type="dxa"/>
          </w:tcPr>
          <w:p w14:paraId="1641879D" w14:textId="77777777" w:rsidR="0015626D" w:rsidRDefault="0015626D" w:rsidP="00112A3E">
            <w:pPr>
              <w:pStyle w:val="Akapitzlist"/>
              <w:ind w:left="0"/>
              <w:jc w:val="both"/>
              <w:rPr>
                <w:rFonts w:ascii="Times New Roman" w:hAnsi="Times New Roman" w:cs="Times New Roman"/>
                <w:sz w:val="20"/>
                <w:szCs w:val="20"/>
              </w:rPr>
            </w:pPr>
            <w:r>
              <w:rPr>
                <w:rFonts w:ascii="Times New Roman" w:hAnsi="Times New Roman" w:cs="Times New Roman"/>
                <w:sz w:val="20"/>
                <w:szCs w:val="20"/>
              </w:rPr>
              <w:t>Opracowuje wewnętrzne regulacje w zakresie zarządzania ryzykiem braku zgodności, monitoruje ryzyko braku zgodności poprzez prowadzenie działań wyjaśniających oraz testy zgodności, sporządza raporty w zakresie ryzyka braku zgodności do Zarządu i Rady Nadzorczej, odpowiada za spójnoś</w:t>
            </w:r>
            <w:r w:rsidR="00F95864">
              <w:rPr>
                <w:rFonts w:ascii="Times New Roman" w:hAnsi="Times New Roman" w:cs="Times New Roman"/>
                <w:sz w:val="20"/>
                <w:szCs w:val="20"/>
              </w:rPr>
              <w:t>c</w:t>
            </w:r>
            <w:r>
              <w:rPr>
                <w:rFonts w:ascii="Times New Roman" w:hAnsi="Times New Roman" w:cs="Times New Roman"/>
                <w:sz w:val="20"/>
                <w:szCs w:val="20"/>
              </w:rPr>
              <w:t>i regulacji wewnętrznych banku</w:t>
            </w:r>
          </w:p>
        </w:tc>
      </w:tr>
      <w:tr w:rsidR="00842B82" w:rsidRPr="00083F7C" w14:paraId="5D06EC9D" w14:textId="77777777" w:rsidTr="00FD08BE">
        <w:tc>
          <w:tcPr>
            <w:tcW w:w="2223" w:type="dxa"/>
          </w:tcPr>
          <w:p w14:paraId="6E6D5CF2" w14:textId="77777777" w:rsidR="00842B82" w:rsidRPr="00083F7C" w:rsidRDefault="00112A3E" w:rsidP="0038056E">
            <w:pPr>
              <w:pStyle w:val="Akapitzlist"/>
              <w:ind w:left="0"/>
              <w:rPr>
                <w:rFonts w:ascii="Times New Roman" w:hAnsi="Times New Roman" w:cs="Times New Roman"/>
                <w:b/>
                <w:sz w:val="20"/>
                <w:szCs w:val="20"/>
              </w:rPr>
            </w:pPr>
            <w:r w:rsidRPr="00083F7C">
              <w:rPr>
                <w:rFonts w:ascii="Times New Roman" w:hAnsi="Times New Roman" w:cs="Times New Roman"/>
                <w:b/>
                <w:sz w:val="20"/>
                <w:szCs w:val="20"/>
              </w:rPr>
              <w:t xml:space="preserve">Komórka monitorująca ryzyko </w:t>
            </w:r>
          </w:p>
        </w:tc>
        <w:tc>
          <w:tcPr>
            <w:tcW w:w="7559" w:type="dxa"/>
          </w:tcPr>
          <w:p w14:paraId="749396A3" w14:textId="77777777" w:rsidR="00842B82" w:rsidRPr="00083F7C" w:rsidRDefault="00842B82" w:rsidP="00A63F9D">
            <w:pPr>
              <w:pStyle w:val="Akapitzlist"/>
              <w:ind w:left="0"/>
              <w:jc w:val="both"/>
              <w:rPr>
                <w:rFonts w:ascii="Times New Roman" w:hAnsi="Times New Roman" w:cs="Times New Roman"/>
                <w:sz w:val="20"/>
                <w:szCs w:val="20"/>
              </w:rPr>
            </w:pPr>
            <w:r w:rsidRPr="00083F7C">
              <w:rPr>
                <w:rFonts w:ascii="Times New Roman" w:hAnsi="Times New Roman" w:cs="Times New Roman"/>
                <w:sz w:val="20"/>
                <w:szCs w:val="20"/>
              </w:rPr>
              <w:t>Monitoruje realizację wyznaczonych celów i zadań strategicznych, procesów tworzenia zysku oraz przedstawia i monitoruje pozycję Banku w zakresie bezpieczeństwa finansowego i operacyjnego. Podstawowe zadania to gromadzenie, przetwarzanie, pomiar i raportowanie odpowiednim organom i komórkom Banku informacji dotyczących podejmowanego przez Bank ryzyka oraz opracowywanie regulacji wewnętrznych w zakresie zarządzania ryzykami oraz szacowania wewnętrznych wymogów kapitałowych z tytułu poszczególnych rodzajów ryzyka.</w:t>
            </w:r>
          </w:p>
        </w:tc>
      </w:tr>
      <w:tr w:rsidR="00842B82" w:rsidRPr="00083F7C" w14:paraId="3F77D9FA" w14:textId="77777777" w:rsidTr="00FD08BE">
        <w:tc>
          <w:tcPr>
            <w:tcW w:w="2223" w:type="dxa"/>
          </w:tcPr>
          <w:p w14:paraId="6DB0378C" w14:textId="77777777" w:rsidR="00842B82" w:rsidRPr="00083F7C" w:rsidRDefault="00842B82" w:rsidP="00A63F9D">
            <w:pPr>
              <w:pStyle w:val="Akapitzlist"/>
              <w:ind w:left="0"/>
              <w:jc w:val="both"/>
              <w:rPr>
                <w:rFonts w:ascii="Times New Roman" w:hAnsi="Times New Roman" w:cs="Times New Roman"/>
                <w:b/>
                <w:sz w:val="20"/>
                <w:szCs w:val="20"/>
              </w:rPr>
            </w:pPr>
            <w:r w:rsidRPr="00083F7C">
              <w:rPr>
                <w:rFonts w:ascii="Times New Roman" w:hAnsi="Times New Roman" w:cs="Times New Roman"/>
                <w:b/>
                <w:sz w:val="20"/>
                <w:szCs w:val="20"/>
              </w:rPr>
              <w:t>Stanowisko audytu wewnętrznego</w:t>
            </w:r>
          </w:p>
        </w:tc>
        <w:tc>
          <w:tcPr>
            <w:tcW w:w="7559" w:type="dxa"/>
          </w:tcPr>
          <w:p w14:paraId="1C4FE102" w14:textId="0B0D568D" w:rsidR="00842B82" w:rsidRPr="00083F7C" w:rsidRDefault="006B3185" w:rsidP="003C3612">
            <w:pPr>
              <w:pStyle w:val="Akapitzlist"/>
              <w:ind w:left="0"/>
              <w:jc w:val="both"/>
              <w:rPr>
                <w:rFonts w:ascii="Times New Roman" w:hAnsi="Times New Roman" w:cs="Times New Roman"/>
                <w:sz w:val="20"/>
                <w:szCs w:val="20"/>
              </w:rPr>
            </w:pPr>
            <w:r>
              <w:rPr>
                <w:rFonts w:ascii="Times New Roman" w:hAnsi="Times New Roman" w:cs="Times New Roman"/>
                <w:sz w:val="20"/>
                <w:szCs w:val="20"/>
              </w:rPr>
              <w:t>Zadania realizowane przez Spółdzielnię Systemu Ochrony Zrzeszenia BPS</w:t>
            </w:r>
          </w:p>
        </w:tc>
      </w:tr>
      <w:tr w:rsidR="00842B82" w:rsidRPr="00083F7C" w14:paraId="73A8DB8D" w14:textId="77777777" w:rsidTr="00FD08BE">
        <w:tc>
          <w:tcPr>
            <w:tcW w:w="2223" w:type="dxa"/>
          </w:tcPr>
          <w:p w14:paraId="73F213E6" w14:textId="77777777" w:rsidR="00842B82" w:rsidRPr="00083F7C" w:rsidRDefault="00842B82" w:rsidP="00A63F9D">
            <w:pPr>
              <w:pStyle w:val="Akapitzlist"/>
              <w:ind w:left="0"/>
              <w:jc w:val="both"/>
              <w:rPr>
                <w:rFonts w:ascii="Times New Roman" w:hAnsi="Times New Roman" w:cs="Times New Roman"/>
                <w:b/>
                <w:sz w:val="20"/>
                <w:szCs w:val="20"/>
              </w:rPr>
            </w:pPr>
            <w:r w:rsidRPr="00083F7C">
              <w:rPr>
                <w:rFonts w:ascii="Times New Roman" w:hAnsi="Times New Roman" w:cs="Times New Roman"/>
                <w:b/>
                <w:sz w:val="20"/>
                <w:szCs w:val="20"/>
              </w:rPr>
              <w:t>Pozostali pracownicy Banku</w:t>
            </w:r>
          </w:p>
        </w:tc>
        <w:tc>
          <w:tcPr>
            <w:tcW w:w="7559" w:type="dxa"/>
          </w:tcPr>
          <w:p w14:paraId="28F254B8" w14:textId="32FB9D87" w:rsidR="00842B82" w:rsidRPr="00083F7C" w:rsidRDefault="00842B82" w:rsidP="00A63F9D">
            <w:pPr>
              <w:pStyle w:val="Akapitzlist"/>
              <w:ind w:left="0"/>
              <w:jc w:val="both"/>
              <w:rPr>
                <w:rFonts w:ascii="Times New Roman" w:hAnsi="Times New Roman" w:cs="Times New Roman"/>
                <w:sz w:val="20"/>
                <w:szCs w:val="20"/>
              </w:rPr>
            </w:pPr>
            <w:r w:rsidRPr="00083F7C">
              <w:rPr>
                <w:rFonts w:ascii="Times New Roman" w:hAnsi="Times New Roman" w:cs="Times New Roman"/>
                <w:sz w:val="20"/>
                <w:szCs w:val="20"/>
              </w:rPr>
              <w:t>Maj</w:t>
            </w:r>
            <w:r w:rsidR="00AB455A">
              <w:rPr>
                <w:rFonts w:ascii="Times New Roman" w:hAnsi="Times New Roman" w:cs="Times New Roman"/>
                <w:sz w:val="20"/>
                <w:szCs w:val="20"/>
              </w:rPr>
              <w:t>ą</w:t>
            </w:r>
            <w:r w:rsidRPr="00083F7C">
              <w:rPr>
                <w:rFonts w:ascii="Times New Roman" w:hAnsi="Times New Roman" w:cs="Times New Roman"/>
                <w:sz w:val="20"/>
                <w:szCs w:val="20"/>
              </w:rPr>
              <w:t xml:space="preserve"> obowiązek przestrzegania zasad zarządzania poszczególnymi rodzajami ryzyka, obowiązujących w Banku w formie wewnętrznych regulacji i zaleceń, uczestnictwa w postępowaniu wyjaśniającym przyczyny występowania zdarzeń generujących ryzyko oraz raportowania tych zdarzeń</w:t>
            </w:r>
          </w:p>
        </w:tc>
      </w:tr>
    </w:tbl>
    <w:p w14:paraId="2FFB9FB8" w14:textId="77777777" w:rsidR="00842B82" w:rsidRDefault="00842B82" w:rsidP="00842B82">
      <w:pPr>
        <w:pStyle w:val="Akapitzlist"/>
        <w:jc w:val="both"/>
        <w:rPr>
          <w:rFonts w:ascii="Times New Roman" w:hAnsi="Times New Roman" w:cs="Times New Roman"/>
          <w:sz w:val="24"/>
        </w:rPr>
      </w:pPr>
    </w:p>
    <w:p w14:paraId="632B141B" w14:textId="77777777" w:rsidR="00842B82" w:rsidRPr="00AD7AF8" w:rsidRDefault="00842B82" w:rsidP="00AD7AF8">
      <w:pPr>
        <w:pStyle w:val="Akapitzlist"/>
        <w:spacing w:after="0" w:line="240" w:lineRule="auto"/>
        <w:ind w:left="0"/>
        <w:jc w:val="both"/>
        <w:rPr>
          <w:rFonts w:ascii="Times New Roman" w:hAnsi="Times New Roman" w:cs="Times New Roman"/>
        </w:rPr>
      </w:pPr>
      <w:r w:rsidRPr="00AD7AF8">
        <w:rPr>
          <w:rFonts w:ascii="Times New Roman" w:hAnsi="Times New Roman" w:cs="Times New Roman"/>
        </w:rPr>
        <w:t>Proces zarządzania poszczególnymi rodzajami ryzyka w Banku obejmuje następujące działania:</w:t>
      </w:r>
    </w:p>
    <w:p w14:paraId="06AF4DD8" w14:textId="77777777" w:rsidR="00842B82" w:rsidRPr="00AD7AF8" w:rsidRDefault="00842B82" w:rsidP="00AD7AF8">
      <w:pPr>
        <w:pStyle w:val="Akapitzlist"/>
        <w:numPr>
          <w:ilvl w:val="0"/>
          <w:numId w:val="1"/>
        </w:numPr>
        <w:spacing w:after="0" w:line="240" w:lineRule="auto"/>
        <w:jc w:val="both"/>
        <w:rPr>
          <w:rFonts w:ascii="Times New Roman" w:hAnsi="Times New Roman" w:cs="Times New Roman"/>
        </w:rPr>
      </w:pPr>
      <w:r w:rsidRPr="00AD7AF8">
        <w:rPr>
          <w:rFonts w:ascii="Times New Roman" w:hAnsi="Times New Roman" w:cs="Times New Roman"/>
        </w:rPr>
        <w:lastRenderedPageBreak/>
        <w:t>gromadzenie informacji,</w:t>
      </w:r>
    </w:p>
    <w:p w14:paraId="0E49F884" w14:textId="77777777" w:rsidR="00842B82" w:rsidRPr="00AD7AF8" w:rsidRDefault="00842B82" w:rsidP="00AD7AF8">
      <w:pPr>
        <w:pStyle w:val="Akapitzlist"/>
        <w:numPr>
          <w:ilvl w:val="0"/>
          <w:numId w:val="1"/>
        </w:numPr>
        <w:spacing w:after="0" w:line="240" w:lineRule="auto"/>
        <w:jc w:val="both"/>
        <w:rPr>
          <w:rFonts w:ascii="Times New Roman" w:hAnsi="Times New Roman" w:cs="Times New Roman"/>
        </w:rPr>
      </w:pPr>
      <w:r w:rsidRPr="00AD7AF8">
        <w:rPr>
          <w:rFonts w:ascii="Times New Roman" w:hAnsi="Times New Roman" w:cs="Times New Roman"/>
        </w:rPr>
        <w:t>identyfikację i ocenę ryzyka,</w:t>
      </w:r>
    </w:p>
    <w:p w14:paraId="46CF9766" w14:textId="77777777" w:rsidR="00842B82" w:rsidRPr="00AD7AF8" w:rsidRDefault="00842B82" w:rsidP="00AD7AF8">
      <w:pPr>
        <w:pStyle w:val="Akapitzlist"/>
        <w:numPr>
          <w:ilvl w:val="0"/>
          <w:numId w:val="1"/>
        </w:numPr>
        <w:spacing w:after="0" w:line="240" w:lineRule="auto"/>
        <w:jc w:val="both"/>
        <w:rPr>
          <w:rFonts w:ascii="Times New Roman" w:hAnsi="Times New Roman" w:cs="Times New Roman"/>
        </w:rPr>
      </w:pPr>
      <w:r w:rsidRPr="00AD7AF8">
        <w:rPr>
          <w:rFonts w:ascii="Times New Roman" w:hAnsi="Times New Roman" w:cs="Times New Roman"/>
        </w:rPr>
        <w:t>limitowanie ryzyka,</w:t>
      </w:r>
    </w:p>
    <w:p w14:paraId="24F00DC8" w14:textId="77777777" w:rsidR="00842B82" w:rsidRPr="00AD7AF8" w:rsidRDefault="00842B82" w:rsidP="00AD7AF8">
      <w:pPr>
        <w:pStyle w:val="Akapitzlist"/>
        <w:numPr>
          <w:ilvl w:val="0"/>
          <w:numId w:val="1"/>
        </w:numPr>
        <w:spacing w:after="0" w:line="240" w:lineRule="auto"/>
        <w:jc w:val="both"/>
        <w:rPr>
          <w:rFonts w:ascii="Times New Roman" w:hAnsi="Times New Roman" w:cs="Times New Roman"/>
        </w:rPr>
      </w:pPr>
      <w:r w:rsidRPr="00AD7AF8">
        <w:rPr>
          <w:rFonts w:ascii="Times New Roman" w:hAnsi="Times New Roman" w:cs="Times New Roman"/>
        </w:rPr>
        <w:t>pomiar i monitorowanie ryzyka,</w:t>
      </w:r>
    </w:p>
    <w:p w14:paraId="284D7073" w14:textId="77777777" w:rsidR="00842B82" w:rsidRPr="00AD7AF8" w:rsidRDefault="00842B82" w:rsidP="00AD7AF8">
      <w:pPr>
        <w:pStyle w:val="Akapitzlist"/>
        <w:numPr>
          <w:ilvl w:val="0"/>
          <w:numId w:val="1"/>
        </w:numPr>
        <w:spacing w:after="0" w:line="240" w:lineRule="auto"/>
        <w:jc w:val="both"/>
        <w:rPr>
          <w:rFonts w:ascii="Times New Roman" w:hAnsi="Times New Roman" w:cs="Times New Roman"/>
        </w:rPr>
      </w:pPr>
      <w:r w:rsidRPr="00AD7AF8">
        <w:rPr>
          <w:rFonts w:ascii="Times New Roman" w:hAnsi="Times New Roman" w:cs="Times New Roman"/>
        </w:rPr>
        <w:t>raportowanie,</w:t>
      </w:r>
    </w:p>
    <w:p w14:paraId="3DDFA77F" w14:textId="77777777" w:rsidR="00842B82" w:rsidRPr="00AD7AF8" w:rsidRDefault="00842B82" w:rsidP="00AD7AF8">
      <w:pPr>
        <w:pStyle w:val="Akapitzlist"/>
        <w:numPr>
          <w:ilvl w:val="0"/>
          <w:numId w:val="1"/>
        </w:numPr>
        <w:spacing w:after="0" w:line="240" w:lineRule="auto"/>
        <w:jc w:val="both"/>
        <w:rPr>
          <w:rFonts w:ascii="Times New Roman" w:hAnsi="Times New Roman" w:cs="Times New Roman"/>
        </w:rPr>
      </w:pPr>
      <w:r w:rsidRPr="00AD7AF8">
        <w:rPr>
          <w:rFonts w:ascii="Times New Roman" w:hAnsi="Times New Roman" w:cs="Times New Roman"/>
        </w:rPr>
        <w:t>zastosowanie narzędzi redukcji ryzyka (działania zapobiegawcze).</w:t>
      </w:r>
    </w:p>
    <w:p w14:paraId="4829840F" w14:textId="77777777" w:rsidR="00AA788D" w:rsidRDefault="00AA788D" w:rsidP="00842B82">
      <w:pPr>
        <w:pStyle w:val="Akapitzlist"/>
        <w:jc w:val="both"/>
        <w:rPr>
          <w:rFonts w:ascii="Times New Roman" w:hAnsi="Times New Roman" w:cs="Times New Roman"/>
          <w:b/>
        </w:rPr>
      </w:pPr>
    </w:p>
    <w:p w14:paraId="16B50482" w14:textId="77777777" w:rsidR="009B292D" w:rsidRPr="009B292D" w:rsidRDefault="009B292D" w:rsidP="009B292D">
      <w:pPr>
        <w:pStyle w:val="Akapitzlist"/>
        <w:ind w:left="0"/>
        <w:jc w:val="center"/>
        <w:rPr>
          <w:rFonts w:ascii="Times New Roman" w:hAnsi="Times New Roman" w:cs="Times New Roman"/>
          <w:b/>
        </w:rPr>
      </w:pPr>
      <w:r w:rsidRPr="009B292D">
        <w:rPr>
          <w:rFonts w:ascii="Times New Roman" w:hAnsi="Times New Roman" w:cs="Times New Roman"/>
          <w:b/>
        </w:rPr>
        <w:t>IV. OPIS SYSTEMÓW RAPORTOWANIA POSZCZEGÓLNYCH RODZAJÓW RYZYKA – INSTRUKCJA SPOR</w:t>
      </w:r>
      <w:r>
        <w:rPr>
          <w:rFonts w:ascii="Times New Roman" w:hAnsi="Times New Roman" w:cs="Times New Roman"/>
          <w:b/>
        </w:rPr>
        <w:t>ZĄDZANIA INFORMACJI ZARZĄDCZEJ</w:t>
      </w:r>
    </w:p>
    <w:p w14:paraId="397A9FB5" w14:textId="77777777" w:rsidR="009B292D" w:rsidRDefault="009B292D" w:rsidP="00842B82">
      <w:pPr>
        <w:pStyle w:val="Akapitzlist"/>
        <w:jc w:val="both"/>
        <w:rPr>
          <w:rFonts w:ascii="Times New Roman" w:hAnsi="Times New Roman" w:cs="Times New Roman"/>
          <w:b/>
        </w:rPr>
      </w:pPr>
    </w:p>
    <w:p w14:paraId="304DAA3D" w14:textId="77777777" w:rsidR="009B6591" w:rsidRDefault="009B6591" w:rsidP="009B6591">
      <w:pPr>
        <w:pStyle w:val="Akapitzlist"/>
        <w:ind w:left="0"/>
        <w:jc w:val="both"/>
        <w:rPr>
          <w:rFonts w:ascii="Times New Roman" w:hAnsi="Times New Roman" w:cs="Times New Roman"/>
        </w:rPr>
      </w:pPr>
      <w:r w:rsidRPr="009B6591">
        <w:rPr>
          <w:rFonts w:ascii="Times New Roman" w:hAnsi="Times New Roman" w:cs="Times New Roman"/>
        </w:rPr>
        <w:t xml:space="preserve">Zakres, częstość, odbiorców raportów oraz osoby odpowiedzialne za sporządzenie cyklicznych informacji określa Instrukcja sporządzania informacji zarządczej. </w:t>
      </w:r>
      <w:r>
        <w:rPr>
          <w:rFonts w:ascii="Times New Roman" w:hAnsi="Times New Roman" w:cs="Times New Roman"/>
        </w:rPr>
        <w:t xml:space="preserve"> Zakres raportowanych informacji przedstawia tabela:</w:t>
      </w:r>
    </w:p>
    <w:tbl>
      <w:tblPr>
        <w:tblW w:w="10211" w:type="dxa"/>
        <w:tblInd w:w="-497" w:type="dxa"/>
        <w:tblCellMar>
          <w:left w:w="70" w:type="dxa"/>
          <w:right w:w="70" w:type="dxa"/>
        </w:tblCellMar>
        <w:tblLook w:val="04A0" w:firstRow="1" w:lastRow="0" w:firstColumn="1" w:lastColumn="0" w:noHBand="0" w:noVBand="1"/>
      </w:tblPr>
      <w:tblGrid>
        <w:gridCol w:w="385"/>
        <w:gridCol w:w="3865"/>
        <w:gridCol w:w="2267"/>
        <w:gridCol w:w="1134"/>
        <w:gridCol w:w="1280"/>
        <w:gridCol w:w="1280"/>
      </w:tblGrid>
      <w:tr w:rsidR="00D14C7C" w:rsidRPr="00D508B3" w14:paraId="780FE37E" w14:textId="77777777" w:rsidTr="000E7813">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8A494"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Lp</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B1E8101"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Nazwa sprawozdania</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6C47E8E4"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r w:rsidRPr="00D508B3">
              <w:rPr>
                <w:rFonts w:ascii="Times New Roman" w:eastAsia="Times New Roman" w:hAnsi="Times New Roman" w:cs="Times New Roman"/>
                <w:b/>
                <w:bCs/>
                <w:color w:val="000000" w:themeColor="text1"/>
                <w:sz w:val="18"/>
                <w:szCs w:val="18"/>
                <w:lang w:eastAsia="pl-PL"/>
              </w:rPr>
              <w:t>omórka sporządzająca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DBE5164"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Odbiorca - Rada Nadzorcza</w:t>
            </w:r>
          </w:p>
        </w:tc>
        <w:tc>
          <w:tcPr>
            <w:tcW w:w="1280" w:type="dxa"/>
            <w:tcBorders>
              <w:top w:val="single" w:sz="4" w:space="0" w:color="000000"/>
              <w:left w:val="nil"/>
              <w:bottom w:val="single" w:sz="4" w:space="0" w:color="000000"/>
              <w:right w:val="single" w:sz="4" w:space="0" w:color="auto"/>
            </w:tcBorders>
          </w:tcPr>
          <w:p w14:paraId="294525CC"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Odbiorca Komitet Audytu</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CC7CCFD"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Odbiorca - Zarząd</w:t>
            </w:r>
          </w:p>
        </w:tc>
      </w:tr>
      <w:tr w:rsidR="00C24760" w:rsidRPr="00D508B3" w14:paraId="2BBA4AE6" w14:textId="77777777" w:rsidTr="000E7813">
        <w:trPr>
          <w:trHeight w:val="432"/>
        </w:trPr>
        <w:tc>
          <w:tcPr>
            <w:tcW w:w="10211" w:type="dxa"/>
            <w:gridSpan w:val="6"/>
            <w:tcBorders>
              <w:top w:val="single" w:sz="4" w:space="0" w:color="000000"/>
              <w:left w:val="single" w:sz="4" w:space="0" w:color="000000"/>
              <w:bottom w:val="single" w:sz="4" w:space="0" w:color="000000"/>
              <w:right w:val="single" w:sz="4" w:space="0" w:color="auto"/>
            </w:tcBorders>
          </w:tcPr>
          <w:p w14:paraId="149753F5" w14:textId="77777777" w:rsidR="00C24760" w:rsidRPr="00D508B3" w:rsidRDefault="00C24760"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w:t>
            </w:r>
          </w:p>
          <w:p w14:paraId="0C7CA929" w14:textId="77777777" w:rsidR="00C24760" w:rsidRPr="00D508B3" w:rsidRDefault="00C24760"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Ogólne:</w:t>
            </w:r>
          </w:p>
          <w:p w14:paraId="2572447E" w14:textId="77777777" w:rsidR="00C24760" w:rsidRPr="00D508B3" w:rsidRDefault="00C24760"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w:t>
            </w:r>
          </w:p>
        </w:tc>
      </w:tr>
      <w:tr w:rsidR="003311CB" w:rsidRPr="00D508B3" w14:paraId="402BCBF7"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82B14"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13F969B9" w14:textId="77777777" w:rsidR="003311CB" w:rsidRPr="00D508B3" w:rsidRDefault="003311CB" w:rsidP="003311CB">
            <w:pPr>
              <w:spacing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Informacja dotycząca ogólnej sytuacji Banku w tym zestawienie wskaźników ogólnego poziomu ryzyka Banku - analiza wykonania podstawowych wielkości planu ekonomiczno-finansowego</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62598E4F"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Stanowisko monitoringu ryzyka i sprawozdawczości, Główny Księgowy</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0B55E11"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 (na każdym planowanym posiedzeniu)</w:t>
            </w:r>
          </w:p>
        </w:tc>
        <w:tc>
          <w:tcPr>
            <w:tcW w:w="1280" w:type="dxa"/>
            <w:tcBorders>
              <w:top w:val="single" w:sz="4" w:space="0" w:color="000000"/>
              <w:left w:val="nil"/>
              <w:bottom w:val="single" w:sz="4" w:space="0" w:color="000000"/>
              <w:right w:val="single" w:sz="4" w:space="0" w:color="auto"/>
            </w:tcBorders>
            <w:vAlign w:val="center"/>
          </w:tcPr>
          <w:p w14:paraId="68E68532" w14:textId="77777777" w:rsidR="003311CB" w:rsidRDefault="003311CB" w:rsidP="003311CB">
            <w:pPr>
              <w:jc w:val="center"/>
            </w:pPr>
            <w:r w:rsidRPr="0009198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E90B2E4"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3311CB" w:rsidRPr="00D508B3" w14:paraId="794B725B"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C9560"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E3B6B21" w14:textId="77777777" w:rsidR="003311CB" w:rsidRPr="00D508B3" w:rsidRDefault="003311CB" w:rsidP="003311CB">
            <w:pPr>
              <w:spacing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realizacji strategii w zakresie obszarów technologii informacyjnej oraz bezpieczeństwa środowiska teleinformatycznego</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18899028"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ASI</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06C06BA"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7B4AF03F" w14:textId="77777777" w:rsidR="003311CB" w:rsidRDefault="003311CB" w:rsidP="003311CB">
            <w:pPr>
              <w:jc w:val="center"/>
            </w:pPr>
            <w:r w:rsidRPr="0009198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4EFA9A3"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3311CB" w:rsidRPr="00D508B3" w14:paraId="271794C5"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F0A56"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64EC7A0E" w14:textId="77777777" w:rsidR="003311CB" w:rsidRPr="00D508B3" w:rsidRDefault="003311CB" w:rsidP="003311CB">
            <w:pPr>
              <w:spacing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Sprawozdanie finansowe</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5F134BBE"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Główny Księgowy</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24D9E01"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76B34801" w14:textId="77777777" w:rsidR="003311CB" w:rsidRDefault="003311CB" w:rsidP="003311CB">
            <w:pPr>
              <w:jc w:val="center"/>
            </w:pPr>
            <w:r w:rsidRPr="0009198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E3EAF"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D14C7C" w:rsidRPr="00D508B3" w14:paraId="51D694A7"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E08A0" w14:textId="2F3E87E7" w:rsidR="00D14C7C" w:rsidRPr="00D508B3" w:rsidRDefault="006B3185"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598DA7F5" w14:textId="77777777" w:rsidR="00D14C7C" w:rsidRPr="00D508B3" w:rsidRDefault="00D14C7C" w:rsidP="00D14C7C">
            <w:pPr>
              <w:spacing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Ocena skuteczności, mechanizmów i procedur kontroli wewnętrznej</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2A7146EF" w14:textId="77777777"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 xml:space="preserve">Zarząd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6BB0C00" w14:textId="77777777"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P</w:t>
            </w:r>
          </w:p>
        </w:tc>
        <w:tc>
          <w:tcPr>
            <w:tcW w:w="1280" w:type="dxa"/>
            <w:tcBorders>
              <w:top w:val="single" w:sz="4" w:space="0" w:color="000000"/>
              <w:left w:val="nil"/>
              <w:bottom w:val="single" w:sz="4" w:space="0" w:color="000000"/>
              <w:right w:val="single" w:sz="4" w:space="0" w:color="auto"/>
            </w:tcBorders>
            <w:vAlign w:val="center"/>
          </w:tcPr>
          <w:p w14:paraId="60C83949" w14:textId="77777777"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P</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4A84D3" w14:textId="77777777"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w:t>
            </w:r>
          </w:p>
        </w:tc>
      </w:tr>
      <w:tr w:rsidR="00D14C7C" w:rsidRPr="00D508B3" w14:paraId="4CE8C4D4"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AA34" w14:textId="00766DEE" w:rsidR="00D14C7C" w:rsidRPr="00D508B3" w:rsidRDefault="006B3185"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30BB5712" w14:textId="77777777" w:rsidR="00D14C7C" w:rsidRPr="00D508B3" w:rsidRDefault="00D14C7C" w:rsidP="00D14C7C">
            <w:pPr>
              <w:spacing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Sprawozdanie z realizacji polityki zarządzania ryzykiem kredytowym, płynności</w:t>
            </w:r>
            <w:r w:rsidR="0080633C">
              <w:rPr>
                <w:rFonts w:ascii="Times New Roman" w:eastAsia="Times New Roman" w:hAnsi="Times New Roman" w:cs="Times New Roman"/>
                <w:bCs/>
                <w:color w:val="000000" w:themeColor="text1"/>
                <w:sz w:val="18"/>
                <w:szCs w:val="18"/>
                <w:lang w:eastAsia="pl-PL"/>
              </w:rPr>
              <w:t xml:space="preserve"> i adekwatności</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1E0820A3" w14:textId="77777777"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sidR="0080633C">
              <w:rPr>
                <w:rFonts w:ascii="Times New Roman" w:eastAsia="Times New Roman" w:hAnsi="Times New Roman" w:cs="Times New Roman"/>
                <w:b/>
                <w:bCs/>
                <w:color w:val="000000" w:themeColor="text1"/>
                <w:sz w:val="18"/>
                <w:szCs w:val="18"/>
                <w:lang w:eastAsia="pl-PL"/>
              </w:rPr>
              <w:t>,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8D8D18D" w14:textId="77777777" w:rsidR="00D14C7C" w:rsidRPr="00D508B3" w:rsidRDefault="0080633C"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70EBDADF" w14:textId="77777777" w:rsidR="00D14C7C" w:rsidRPr="00D508B3" w:rsidRDefault="0080633C"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38963F" w14:textId="77777777" w:rsidR="00D14C7C" w:rsidRPr="00D508B3" w:rsidRDefault="0080633C"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r>
      <w:tr w:rsidR="00D14C7C" w:rsidRPr="00D508B3" w14:paraId="66CAEABC"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3DFF8" w14:textId="488F20A7" w:rsidR="00D14C7C" w:rsidRPr="00D508B3" w:rsidRDefault="006B3185"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1343F69A" w14:textId="05EB2264" w:rsidR="00D14C7C" w:rsidRPr="00D508B3" w:rsidRDefault="00263C5D" w:rsidP="00D14C7C">
            <w:pPr>
              <w:spacing w:line="240" w:lineRule="auto"/>
              <w:rPr>
                <w:rFonts w:ascii="Times New Roman" w:eastAsia="Times New Roman" w:hAnsi="Times New Roman" w:cs="Times New Roman"/>
                <w:bCs/>
                <w:color w:val="000000" w:themeColor="text1"/>
                <w:sz w:val="18"/>
                <w:szCs w:val="18"/>
                <w:lang w:eastAsia="pl-PL"/>
              </w:rPr>
            </w:pPr>
            <w:r w:rsidRPr="00263C5D">
              <w:rPr>
                <w:rFonts w:ascii="Times New Roman" w:eastAsia="Times New Roman" w:hAnsi="Times New Roman" w:cs="Times New Roman"/>
                <w:bCs/>
                <w:color w:val="000000" w:themeColor="text1"/>
                <w:sz w:val="18"/>
                <w:szCs w:val="18"/>
                <w:lang w:eastAsia="pl-PL"/>
              </w:rPr>
              <w:t>Weryfikacja i ocena realizacji przez Radę</w:t>
            </w:r>
            <w:r>
              <w:rPr>
                <w:rFonts w:ascii="Times New Roman" w:eastAsia="Times New Roman" w:hAnsi="Times New Roman" w:cs="Times New Roman"/>
                <w:bCs/>
                <w:color w:val="000000" w:themeColor="text1"/>
                <w:sz w:val="18"/>
                <w:szCs w:val="18"/>
                <w:lang w:eastAsia="pl-PL"/>
              </w:rPr>
              <w:t xml:space="preserve"> Nadzorczą Polityki wynagrodzeń</w:t>
            </w:r>
            <w:r w:rsidRPr="00263C5D">
              <w:rPr>
                <w:rFonts w:ascii="Times New Roman" w:eastAsia="Times New Roman" w:hAnsi="Times New Roman" w:cs="Times New Roman"/>
                <w:bCs/>
                <w:color w:val="000000" w:themeColor="text1"/>
                <w:sz w:val="18"/>
                <w:szCs w:val="18"/>
                <w:lang w:eastAsia="pl-PL"/>
              </w:rPr>
              <w:t>, Polityki informacyjnej, ZŁK, procedury anonimowego zgłaszania naruszeń</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31582CB1" w14:textId="77777777" w:rsidR="00D14C7C" w:rsidRPr="00D508B3" w:rsidRDefault="0080633C" w:rsidP="00D14C7C">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EB7455D" w14:textId="77777777"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77ECCA10" w14:textId="77777777" w:rsidR="00D14C7C" w:rsidRPr="00D508B3" w:rsidRDefault="0080633C"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10BA61" w14:textId="77777777"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D14C7C" w:rsidRPr="00D508B3" w14:paraId="31C43CA9"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C23CA" w14:textId="2E05FCF4" w:rsidR="00D14C7C" w:rsidRPr="00D508B3" w:rsidRDefault="00263C5D"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7</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2E15A8AB" w14:textId="50D43E98" w:rsidR="00D14C7C" w:rsidRPr="00D508B3" w:rsidRDefault="00263C5D" w:rsidP="00D14C7C">
            <w:pPr>
              <w:spacing w:line="240" w:lineRule="auto"/>
              <w:rPr>
                <w:rFonts w:ascii="Times New Roman" w:eastAsia="Times New Roman" w:hAnsi="Times New Roman" w:cs="Times New Roman"/>
                <w:bCs/>
                <w:color w:val="000000" w:themeColor="text1"/>
                <w:sz w:val="18"/>
                <w:szCs w:val="18"/>
                <w:lang w:eastAsia="pl-PL"/>
              </w:rPr>
            </w:pPr>
            <w:r w:rsidRPr="00263C5D">
              <w:rPr>
                <w:rFonts w:ascii="Times New Roman" w:eastAsia="Times New Roman" w:hAnsi="Times New Roman" w:cs="Times New Roman"/>
                <w:bCs/>
                <w:color w:val="000000" w:themeColor="text1"/>
                <w:sz w:val="18"/>
                <w:szCs w:val="18"/>
                <w:lang w:eastAsia="pl-PL"/>
              </w:rPr>
              <w:t>Okresowa weryfikacja przyjętych procedur, założeń testów warunków skrajnych, planów awaryjnych oraz limitów w zakresie zarządzania poszczególnymi rodzajami ryzyka, IT</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FF46903" w14:textId="77777777" w:rsidR="00D14C7C" w:rsidRPr="00D508B3" w:rsidRDefault="0080633C" w:rsidP="00D14C7C">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E6D571B" w14:textId="77777777"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nil"/>
              <w:bottom w:val="single" w:sz="4" w:space="0" w:color="000000"/>
              <w:right w:val="single" w:sz="4" w:space="0" w:color="auto"/>
            </w:tcBorders>
            <w:vAlign w:val="center"/>
          </w:tcPr>
          <w:p w14:paraId="33B3776F" w14:textId="77777777" w:rsidR="00D14C7C" w:rsidRPr="00D508B3" w:rsidRDefault="0080633C" w:rsidP="00D14C7C">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F9A1E3" w14:textId="77777777"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598D12D4"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4DD2B" w14:textId="6F8A1270" w:rsidR="003311CB" w:rsidRPr="00D508B3" w:rsidRDefault="00263C5D" w:rsidP="003311CB">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8</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BE58B53" w14:textId="77777777" w:rsidR="003311CB" w:rsidRPr="00D508B3" w:rsidRDefault="003311CB" w:rsidP="003311CB">
            <w:pPr>
              <w:spacing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Weryfikacja założeń do planu ekonomiczno-finansowego, w tym polityk w zakresie poszczególnych ryzyk, </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01E9452"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Stanowisko monitoringu, weryfikacji i sprawozdawczości ryzyka</w:t>
            </w:r>
            <w:r w:rsidRPr="00D508B3">
              <w:rPr>
                <w:rFonts w:ascii="Times New Roman" w:eastAsia="Times New Roman" w:hAnsi="Times New Roman" w:cs="Times New Roman"/>
                <w:b/>
                <w:bCs/>
                <w:color w:val="000000" w:themeColor="text1"/>
                <w:sz w:val="18"/>
                <w:szCs w:val="18"/>
                <w:lang w:eastAsia="pl-PL"/>
              </w:rPr>
              <w:t>, Cz</w:t>
            </w:r>
            <w:r>
              <w:rPr>
                <w:rFonts w:ascii="Times New Roman" w:eastAsia="Times New Roman" w:hAnsi="Times New Roman" w:cs="Times New Roman"/>
                <w:b/>
                <w:bCs/>
                <w:color w:val="000000" w:themeColor="text1"/>
                <w:sz w:val="18"/>
                <w:szCs w:val="18"/>
                <w:lang w:eastAsia="pl-PL"/>
              </w:rPr>
              <w:t>ł</w:t>
            </w:r>
            <w:r w:rsidRPr="00D508B3">
              <w:rPr>
                <w:rFonts w:ascii="Times New Roman" w:eastAsia="Times New Roman" w:hAnsi="Times New Roman" w:cs="Times New Roman"/>
                <w:b/>
                <w:bCs/>
                <w:color w:val="000000" w:themeColor="text1"/>
                <w:sz w:val="18"/>
                <w:szCs w:val="18"/>
                <w:lang w:eastAsia="pl-PL"/>
              </w:rPr>
              <w:t>onek Zarządu ds. Handlowych</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02CC4DD"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4089192B" w14:textId="77777777" w:rsidR="003311CB" w:rsidRDefault="003311CB" w:rsidP="003311CB">
            <w:pPr>
              <w:jc w:val="center"/>
            </w:pPr>
            <w:r w:rsidRPr="00633A5F">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6976867"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7E34857A"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83FF0" w14:textId="0B3129A0" w:rsidR="003311CB" w:rsidRPr="00D508B3" w:rsidRDefault="00263C5D" w:rsidP="003311CB">
            <w:pPr>
              <w:spacing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9</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1598367" w14:textId="77777777" w:rsidR="003311CB" w:rsidRPr="00D508B3" w:rsidRDefault="003311CB" w:rsidP="003311CB">
            <w:pPr>
              <w:spacing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Weryfikacja założeń Strategii działania Banku oraz spójności z planem ekonomiczno - finansowym</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6212B625"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r w:rsidRPr="00D508B3">
              <w:rPr>
                <w:rFonts w:ascii="Times New Roman" w:eastAsia="Times New Roman" w:hAnsi="Times New Roman" w:cs="Times New Roman"/>
                <w:b/>
                <w:bCs/>
                <w:color w:val="000000" w:themeColor="text1"/>
                <w:sz w:val="18"/>
                <w:szCs w:val="18"/>
                <w:lang w:eastAsia="pl-PL"/>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2E29E56"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4AE0EF9B" w14:textId="77777777" w:rsidR="003311CB" w:rsidRDefault="003311CB" w:rsidP="003311CB">
            <w:pPr>
              <w:jc w:val="center"/>
            </w:pPr>
            <w:r w:rsidRPr="00633A5F">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54E727" w14:textId="77777777" w:rsidR="003311CB" w:rsidRPr="00D508B3" w:rsidRDefault="003311CB" w:rsidP="003311CB">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D14C7C" w:rsidRPr="00D508B3" w14:paraId="1043E83B"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B5651" w14:textId="173C1603" w:rsidR="00D14C7C" w:rsidRPr="00D508B3" w:rsidRDefault="00D14C7C" w:rsidP="00D14C7C">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263C5D">
              <w:rPr>
                <w:rFonts w:ascii="Times New Roman" w:eastAsia="Times New Roman" w:hAnsi="Times New Roman" w:cs="Times New Roman"/>
                <w:b/>
                <w:bCs/>
                <w:color w:val="000000" w:themeColor="text1"/>
                <w:sz w:val="18"/>
                <w:szCs w:val="18"/>
                <w:lang w:eastAsia="pl-PL"/>
              </w:rPr>
              <w:t>0</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20B211E" w14:textId="77777777" w:rsidR="00D14C7C" w:rsidRPr="00D508B3" w:rsidRDefault="00D14C7C" w:rsidP="00D14C7C">
            <w:pPr>
              <w:spacing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BION</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0023E84" w14:textId="77777777" w:rsidR="00D14C7C" w:rsidRPr="00D508B3" w:rsidRDefault="00C24760" w:rsidP="00D14C7C">
            <w:pPr>
              <w:spacing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124ED6C" w14:textId="77777777" w:rsidR="00D14C7C" w:rsidRPr="00D508B3" w:rsidRDefault="00C24760"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30B54429" w14:textId="77777777" w:rsidR="00D14C7C"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504B296" w14:textId="77777777" w:rsidR="00D14C7C" w:rsidRPr="00D508B3" w:rsidRDefault="00D14C7C"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C24760" w:rsidRPr="00D508B3" w14:paraId="15522F72" w14:textId="77777777" w:rsidTr="000E7813">
        <w:trPr>
          <w:trHeight w:val="582"/>
        </w:trPr>
        <w:tc>
          <w:tcPr>
            <w:tcW w:w="10211" w:type="dxa"/>
            <w:gridSpan w:val="6"/>
            <w:tcBorders>
              <w:top w:val="single" w:sz="4" w:space="0" w:color="000000"/>
              <w:left w:val="single" w:sz="4" w:space="0" w:color="000000"/>
              <w:bottom w:val="single" w:sz="4" w:space="0" w:color="000000"/>
              <w:right w:val="single" w:sz="4" w:space="0" w:color="auto"/>
            </w:tcBorders>
          </w:tcPr>
          <w:p w14:paraId="1830DAB4" w14:textId="77777777" w:rsidR="00C24760" w:rsidRPr="00D508B3" w:rsidRDefault="00C24760"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lastRenderedPageBreak/>
              <w:t> </w:t>
            </w:r>
          </w:p>
          <w:p w14:paraId="2542F8DE" w14:textId="77777777" w:rsidR="00C24760" w:rsidRPr="00D508B3" w:rsidRDefault="000E7813" w:rsidP="000E781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Adekwatność kapitałowa:</w:t>
            </w:r>
          </w:p>
        </w:tc>
      </w:tr>
      <w:tr w:rsidR="003311CB" w:rsidRPr="00D508B3" w14:paraId="2C3DB9E4"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2F73E" w14:textId="2DC2CB98" w:rsidR="003311CB" w:rsidRPr="00D508B3" w:rsidRDefault="00263C5D"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11</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6003BC4B"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wysokości i struktury funduszy własnych Banku</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A5B80FC"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370010F"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2AE5A186" w14:textId="77777777" w:rsidR="003311CB" w:rsidRDefault="003311CB" w:rsidP="003311CB">
            <w:pPr>
              <w:spacing w:after="0"/>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725BEF" w14:textId="4E1C4A8A" w:rsidR="003311CB" w:rsidRPr="00D508B3" w:rsidRDefault="00263C5D"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r>
      <w:tr w:rsidR="003311CB" w:rsidRPr="00D508B3" w14:paraId="5407B8E7"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1200A" w14:textId="74270C13"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263C5D">
              <w:rPr>
                <w:rFonts w:ascii="Times New Roman" w:eastAsia="Times New Roman" w:hAnsi="Times New Roman" w:cs="Times New Roman"/>
                <w:b/>
                <w:bCs/>
                <w:color w:val="000000" w:themeColor="text1"/>
                <w:sz w:val="18"/>
                <w:szCs w:val="18"/>
                <w:lang w:eastAsia="pl-PL"/>
              </w:rPr>
              <w:t>2</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7071306"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adekwatności kapitałowej (wymogi minimalne i dodatkowe), poziom dźwigni</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75719C87"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28ECE99"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5B987841" w14:textId="77777777" w:rsidR="003311CB" w:rsidRDefault="003311CB" w:rsidP="003311CB">
            <w:pPr>
              <w:spacing w:after="0"/>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34A4A0E" w14:textId="602505E4" w:rsidR="003311CB" w:rsidRPr="00D508B3" w:rsidRDefault="00263C5D"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r>
      <w:tr w:rsidR="003311CB" w:rsidRPr="00D508B3" w14:paraId="41D1B329"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D4A24" w14:textId="43650BCD"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263C5D">
              <w:rPr>
                <w:rFonts w:ascii="Times New Roman" w:eastAsia="Times New Roman" w:hAnsi="Times New Roman" w:cs="Times New Roman"/>
                <w:b/>
                <w:bCs/>
                <w:color w:val="000000" w:themeColor="text1"/>
                <w:sz w:val="18"/>
                <w:szCs w:val="18"/>
                <w:lang w:eastAsia="pl-PL"/>
              </w:rPr>
              <w:t>3</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7B2217D9"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Weryfikacja limitów alokacji kapitału</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65F9D8B0"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CFAD7B1"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7E316F86" w14:textId="77777777" w:rsidR="003311CB" w:rsidRDefault="003311CB" w:rsidP="003311CB">
            <w:pPr>
              <w:spacing w:after="0"/>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9059CC"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6BEBB47C"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313BF" w14:textId="2A5B183F"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263C5D">
              <w:rPr>
                <w:rFonts w:ascii="Times New Roman" w:eastAsia="Times New Roman" w:hAnsi="Times New Roman" w:cs="Times New Roman"/>
                <w:b/>
                <w:bCs/>
                <w:color w:val="000000" w:themeColor="text1"/>
                <w:sz w:val="18"/>
                <w:szCs w:val="18"/>
                <w:lang w:eastAsia="pl-PL"/>
              </w:rPr>
              <w:t>4</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50A956C9"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Przegląd procesu szacowania wymogów wewnętrznych (ICAAP)</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B73330A"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D79CE30"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24E7F330" w14:textId="77777777" w:rsidR="003311CB" w:rsidRDefault="003311CB" w:rsidP="003311CB">
            <w:pPr>
              <w:spacing w:after="0"/>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69338E"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1600A4E0"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FA73" w14:textId="263D07A4"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263C5D">
              <w:rPr>
                <w:rFonts w:ascii="Times New Roman" w:eastAsia="Times New Roman" w:hAnsi="Times New Roman" w:cs="Times New Roman"/>
                <w:b/>
                <w:bCs/>
                <w:color w:val="000000" w:themeColor="text1"/>
                <w:sz w:val="18"/>
                <w:szCs w:val="18"/>
                <w:lang w:eastAsia="pl-PL"/>
              </w:rPr>
              <w:t>5</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31CFDBEE" w14:textId="706487A2"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Weryfikacja założeń testów warunków skrajnych oraz planów awaryjnych </w:t>
            </w:r>
            <w:r w:rsidR="00263C5D" w:rsidRPr="00263C5D">
              <w:rPr>
                <w:rFonts w:ascii="Times New Roman" w:eastAsia="Times New Roman" w:hAnsi="Times New Roman" w:cs="Times New Roman"/>
                <w:bCs/>
                <w:color w:val="000000" w:themeColor="text1"/>
                <w:sz w:val="18"/>
                <w:szCs w:val="18"/>
                <w:lang w:eastAsia="pl-PL"/>
              </w:rPr>
              <w:t>(m.in.. Dźwigni)</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E34FE40"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20A86FD"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08E9520F" w14:textId="77777777" w:rsidR="003311CB" w:rsidRDefault="003311CB" w:rsidP="003311CB">
            <w:pPr>
              <w:spacing w:after="0"/>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9FDBB20"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C24760" w:rsidRPr="00D508B3" w14:paraId="771A4323" w14:textId="77777777" w:rsidTr="000E7813">
        <w:trPr>
          <w:trHeight w:val="605"/>
        </w:trPr>
        <w:tc>
          <w:tcPr>
            <w:tcW w:w="10211" w:type="dxa"/>
            <w:gridSpan w:val="6"/>
            <w:tcBorders>
              <w:top w:val="single" w:sz="4" w:space="0" w:color="000000"/>
              <w:left w:val="single" w:sz="4" w:space="0" w:color="000000"/>
              <w:bottom w:val="single" w:sz="4" w:space="0" w:color="000000"/>
              <w:right w:val="single" w:sz="4" w:space="0" w:color="auto"/>
            </w:tcBorders>
          </w:tcPr>
          <w:p w14:paraId="31C1EEBB" w14:textId="77777777" w:rsidR="00C24760" w:rsidRPr="00C24760" w:rsidRDefault="00C24760" w:rsidP="00C24760">
            <w:pPr>
              <w:spacing w:after="0" w:line="240" w:lineRule="auto"/>
              <w:jc w:val="center"/>
              <w:rPr>
                <w:rFonts w:ascii="Times New Roman" w:eastAsia="Times New Roman" w:hAnsi="Times New Roman" w:cs="Times New Roman"/>
                <w:b/>
                <w:bCs/>
                <w:color w:val="000000" w:themeColor="text1"/>
                <w:sz w:val="18"/>
                <w:szCs w:val="18"/>
                <w:lang w:eastAsia="pl-PL"/>
              </w:rPr>
            </w:pPr>
          </w:p>
          <w:p w14:paraId="77F04F1A" w14:textId="77777777" w:rsidR="00C24760" w:rsidRPr="00C24760" w:rsidRDefault="000E7813" w:rsidP="000E781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Ryzyko kredytowe:</w:t>
            </w:r>
          </w:p>
          <w:p w14:paraId="59178A1C" w14:textId="77777777" w:rsidR="00C24760" w:rsidRPr="00C24760" w:rsidRDefault="00C24760" w:rsidP="00C24760">
            <w:pPr>
              <w:spacing w:after="0" w:line="240" w:lineRule="auto"/>
              <w:jc w:val="center"/>
              <w:rPr>
                <w:rFonts w:ascii="Times New Roman" w:eastAsia="Times New Roman" w:hAnsi="Times New Roman" w:cs="Times New Roman"/>
                <w:b/>
                <w:bCs/>
                <w:color w:val="000000" w:themeColor="text1"/>
                <w:sz w:val="18"/>
                <w:szCs w:val="18"/>
                <w:lang w:eastAsia="pl-PL"/>
              </w:rPr>
            </w:pPr>
          </w:p>
        </w:tc>
      </w:tr>
      <w:tr w:rsidR="003311CB" w:rsidRPr="00D508B3" w14:paraId="5F0D5CF7"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E964B" w14:textId="4874F3CE" w:rsidR="003311CB" w:rsidRPr="00D508B3" w:rsidRDefault="00263C5D"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16</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A288966"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struktury portfela kredytowego z uwzględnieniem: jakości, struktury podmiotowej, produktowej, wykorzystaniu limitów wewnętrznych oraz jakości i skuteczności procesów kredytowych, dynamiki oraz wykonania planu, w tym analiza kredytów detalicznych, zgodnie z rekomendacją "T", ekspozycji zabezpieczonych hipotecznie</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502BD2D7"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C445234"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24127566" w14:textId="77777777" w:rsidR="003311CB" w:rsidRDefault="003311CB" w:rsidP="003311CB">
            <w:pPr>
              <w:spacing w:after="0"/>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EA218"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3311CB" w:rsidRPr="00D508B3" w14:paraId="1BBA04C2"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45F73" w14:textId="0E0EA09E" w:rsidR="003311CB" w:rsidRPr="00D508B3" w:rsidRDefault="00263C5D"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17</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8BE91F4"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Analiza wykonania limitów koncentracji zaangażowań i dużych zaangażowań kredytowych   </w:t>
            </w:r>
          </w:p>
        </w:tc>
        <w:tc>
          <w:tcPr>
            <w:tcW w:w="2267" w:type="dxa"/>
            <w:tcBorders>
              <w:top w:val="single" w:sz="4" w:space="0" w:color="000000"/>
              <w:left w:val="nil"/>
              <w:bottom w:val="single" w:sz="4" w:space="0" w:color="000000"/>
              <w:right w:val="single" w:sz="4" w:space="0" w:color="000000"/>
            </w:tcBorders>
            <w:shd w:val="clear" w:color="auto" w:fill="auto"/>
            <w:hideMark/>
          </w:tcPr>
          <w:p w14:paraId="11F1E295" w14:textId="77777777" w:rsidR="003311CB" w:rsidRDefault="003311CB" w:rsidP="003311CB">
            <w:r w:rsidRPr="0044349D">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78E36AA"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P</w:t>
            </w:r>
          </w:p>
        </w:tc>
        <w:tc>
          <w:tcPr>
            <w:tcW w:w="1280" w:type="dxa"/>
            <w:tcBorders>
              <w:top w:val="single" w:sz="4" w:space="0" w:color="000000"/>
              <w:left w:val="nil"/>
              <w:bottom w:val="single" w:sz="4" w:space="0" w:color="000000"/>
              <w:right w:val="single" w:sz="4" w:space="0" w:color="auto"/>
            </w:tcBorders>
            <w:vAlign w:val="center"/>
          </w:tcPr>
          <w:p w14:paraId="75D3C4A3" w14:textId="77777777" w:rsidR="003311CB" w:rsidRDefault="003311CB" w:rsidP="003311CB">
            <w:pPr>
              <w:spacing w:after="0"/>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2B99D9"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3311CB" w:rsidRPr="00D508B3" w14:paraId="2C9FAAE0"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541AB" w14:textId="5A9D3A76" w:rsidR="003311CB" w:rsidRPr="00D508B3" w:rsidRDefault="00263C5D"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18</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3C529FE" w14:textId="53ED9942"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jakości portfela kredytów w tym analiza stanu rezerw celowych</w:t>
            </w:r>
            <w:r w:rsidR="00263C5D">
              <w:rPr>
                <w:rFonts w:ascii="Times New Roman" w:eastAsia="Times New Roman" w:hAnsi="Times New Roman" w:cs="Times New Roman"/>
                <w:bCs/>
                <w:color w:val="000000" w:themeColor="text1"/>
                <w:sz w:val="18"/>
                <w:szCs w:val="18"/>
                <w:lang w:eastAsia="pl-PL"/>
              </w:rPr>
              <w:t xml:space="preserve">, </w:t>
            </w:r>
            <w:r w:rsidR="00263C5D" w:rsidRPr="00263C5D">
              <w:rPr>
                <w:rFonts w:ascii="Times New Roman" w:eastAsia="Times New Roman" w:hAnsi="Times New Roman" w:cs="Times New Roman"/>
                <w:bCs/>
                <w:color w:val="000000" w:themeColor="text1"/>
                <w:sz w:val="18"/>
                <w:szCs w:val="18"/>
                <w:lang w:eastAsia="pl-PL"/>
              </w:rPr>
              <w:t>NPL, TEXAS</w:t>
            </w:r>
          </w:p>
        </w:tc>
        <w:tc>
          <w:tcPr>
            <w:tcW w:w="2267" w:type="dxa"/>
            <w:tcBorders>
              <w:top w:val="single" w:sz="4" w:space="0" w:color="000000"/>
              <w:left w:val="nil"/>
              <w:bottom w:val="single" w:sz="4" w:space="0" w:color="000000"/>
              <w:right w:val="single" w:sz="4" w:space="0" w:color="000000"/>
            </w:tcBorders>
            <w:shd w:val="clear" w:color="auto" w:fill="auto"/>
            <w:hideMark/>
          </w:tcPr>
          <w:p w14:paraId="7DE8CC30" w14:textId="77777777" w:rsidR="003311CB" w:rsidRDefault="003311CB" w:rsidP="003311CB">
            <w:r w:rsidRPr="0044349D">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6EE4240"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P</w:t>
            </w:r>
          </w:p>
        </w:tc>
        <w:tc>
          <w:tcPr>
            <w:tcW w:w="1280" w:type="dxa"/>
            <w:tcBorders>
              <w:top w:val="single" w:sz="4" w:space="0" w:color="000000"/>
              <w:left w:val="nil"/>
              <w:bottom w:val="single" w:sz="4" w:space="0" w:color="000000"/>
              <w:right w:val="single" w:sz="4" w:space="0" w:color="auto"/>
            </w:tcBorders>
            <w:vAlign w:val="center"/>
          </w:tcPr>
          <w:p w14:paraId="5D7071FB" w14:textId="77777777" w:rsidR="003311CB" w:rsidRDefault="003311CB" w:rsidP="003311CB">
            <w:pPr>
              <w:spacing w:after="0"/>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DD19721"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3311CB" w:rsidRPr="00D508B3" w14:paraId="7AD2C2A4"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B1DB5" w14:textId="748A5A51" w:rsidR="003311CB" w:rsidRPr="00D508B3" w:rsidRDefault="00263C5D"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19</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1C5F636D"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Wyniki klasyfikacji kwartalnej ekspozycji kredytowych powyżej 10% FW</w:t>
            </w:r>
          </w:p>
        </w:tc>
        <w:tc>
          <w:tcPr>
            <w:tcW w:w="2267" w:type="dxa"/>
            <w:tcBorders>
              <w:top w:val="single" w:sz="4" w:space="0" w:color="000000"/>
              <w:left w:val="nil"/>
              <w:bottom w:val="single" w:sz="4" w:space="0" w:color="000000"/>
              <w:right w:val="single" w:sz="4" w:space="0" w:color="000000"/>
            </w:tcBorders>
            <w:shd w:val="clear" w:color="auto" w:fill="auto"/>
            <w:hideMark/>
          </w:tcPr>
          <w:p w14:paraId="127608B1" w14:textId="77777777" w:rsidR="003311CB" w:rsidRDefault="003311CB" w:rsidP="003311CB">
            <w:r w:rsidRPr="0044349D">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5383BB3"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nil"/>
              <w:bottom w:val="single" w:sz="4" w:space="0" w:color="000000"/>
              <w:right w:val="single" w:sz="4" w:space="0" w:color="auto"/>
            </w:tcBorders>
            <w:vAlign w:val="center"/>
          </w:tcPr>
          <w:p w14:paraId="69573437" w14:textId="77777777" w:rsidR="003311CB" w:rsidRDefault="003311CB" w:rsidP="003311CB">
            <w:pPr>
              <w:spacing w:after="0"/>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7B1B4A"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3311CB" w:rsidRPr="00D508B3" w14:paraId="2031C7BE"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208D7" w14:textId="79185868"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2</w:t>
            </w:r>
            <w:r w:rsidR="00263C5D">
              <w:rPr>
                <w:rFonts w:ascii="Times New Roman" w:eastAsia="Times New Roman" w:hAnsi="Times New Roman" w:cs="Times New Roman"/>
                <w:b/>
                <w:bCs/>
                <w:color w:val="000000" w:themeColor="text1"/>
                <w:sz w:val="18"/>
                <w:szCs w:val="18"/>
                <w:lang w:eastAsia="pl-PL"/>
              </w:rPr>
              <w:t>0</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5199CBF0"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Wyniki klasyfikacji rocznej ekspozycji kredytowych poniżej 10% FW</w:t>
            </w:r>
          </w:p>
        </w:tc>
        <w:tc>
          <w:tcPr>
            <w:tcW w:w="2267" w:type="dxa"/>
            <w:tcBorders>
              <w:top w:val="single" w:sz="4" w:space="0" w:color="000000"/>
              <w:left w:val="nil"/>
              <w:bottom w:val="single" w:sz="4" w:space="0" w:color="000000"/>
              <w:right w:val="single" w:sz="4" w:space="0" w:color="000000"/>
            </w:tcBorders>
            <w:shd w:val="clear" w:color="auto" w:fill="auto"/>
            <w:hideMark/>
          </w:tcPr>
          <w:p w14:paraId="143199FF" w14:textId="77777777" w:rsidR="003311CB" w:rsidRDefault="003311CB" w:rsidP="003311CB">
            <w:r w:rsidRPr="0044349D">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DED9404"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nil"/>
              <w:bottom w:val="single" w:sz="4" w:space="0" w:color="000000"/>
              <w:right w:val="single" w:sz="4" w:space="0" w:color="auto"/>
            </w:tcBorders>
            <w:vAlign w:val="center"/>
          </w:tcPr>
          <w:p w14:paraId="2E544920" w14:textId="77777777" w:rsidR="003311CB" w:rsidRDefault="003311CB" w:rsidP="003311CB">
            <w:pPr>
              <w:spacing w:after="0"/>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2862B23"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2AF7B59A"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87866" w14:textId="64B9F178"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2</w:t>
            </w:r>
            <w:r w:rsidR="00263C5D">
              <w:rPr>
                <w:rFonts w:ascii="Times New Roman" w:eastAsia="Times New Roman" w:hAnsi="Times New Roman" w:cs="Times New Roman"/>
                <w:b/>
                <w:bCs/>
                <w:color w:val="000000" w:themeColor="text1"/>
                <w:sz w:val="18"/>
                <w:szCs w:val="18"/>
                <w:lang w:eastAsia="pl-PL"/>
              </w:rPr>
              <w:t>1</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15BFB99F"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Raport w zakresie realizacji testów warunków skrajnych w zakresie ryzyka koncentracji, DEK oraz EKZH</w:t>
            </w:r>
          </w:p>
        </w:tc>
        <w:tc>
          <w:tcPr>
            <w:tcW w:w="2267" w:type="dxa"/>
            <w:tcBorders>
              <w:top w:val="single" w:sz="4" w:space="0" w:color="000000"/>
              <w:left w:val="nil"/>
              <w:bottom w:val="single" w:sz="4" w:space="0" w:color="000000"/>
              <w:right w:val="single" w:sz="4" w:space="0" w:color="000000"/>
            </w:tcBorders>
            <w:shd w:val="clear" w:color="auto" w:fill="auto"/>
            <w:hideMark/>
          </w:tcPr>
          <w:p w14:paraId="7740D70F" w14:textId="77777777" w:rsidR="003311CB" w:rsidRDefault="003311CB" w:rsidP="003311CB">
            <w:r w:rsidRPr="0044349D">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D875389"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1B9C76A1" w14:textId="77777777" w:rsidR="003311CB" w:rsidRDefault="003311CB" w:rsidP="003311CB">
            <w:pPr>
              <w:spacing w:after="0"/>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C7FB961"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3311CB" w:rsidRPr="00D508B3" w14:paraId="04846816"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E95FB" w14:textId="37161443"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2</w:t>
            </w:r>
            <w:r w:rsidR="00263C5D">
              <w:rPr>
                <w:rFonts w:ascii="Times New Roman" w:eastAsia="Times New Roman" w:hAnsi="Times New Roman" w:cs="Times New Roman"/>
                <w:b/>
                <w:bCs/>
                <w:color w:val="000000" w:themeColor="text1"/>
                <w:sz w:val="18"/>
                <w:szCs w:val="18"/>
                <w:lang w:eastAsia="pl-PL"/>
              </w:rPr>
              <w:t>2</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70CCB17F"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Informacja dotycząca windykacji i restrukturyzacji kredytów w sytuacji zagrożonej</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77C243F4"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Stanowisko ds. wierzytelności trudnych</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2B5DA5A"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P</w:t>
            </w:r>
          </w:p>
        </w:tc>
        <w:tc>
          <w:tcPr>
            <w:tcW w:w="1280" w:type="dxa"/>
            <w:tcBorders>
              <w:top w:val="single" w:sz="4" w:space="0" w:color="000000"/>
              <w:left w:val="nil"/>
              <w:bottom w:val="single" w:sz="4" w:space="0" w:color="000000"/>
              <w:right w:val="single" w:sz="4" w:space="0" w:color="auto"/>
            </w:tcBorders>
            <w:vAlign w:val="center"/>
          </w:tcPr>
          <w:p w14:paraId="4586B27F" w14:textId="77777777" w:rsidR="003311CB" w:rsidRDefault="003311CB" w:rsidP="003311CB">
            <w:pPr>
              <w:spacing w:after="0"/>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B7A7918"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3311CB" w:rsidRPr="00D508B3" w14:paraId="50AF8799"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9C9B7" w14:textId="4F1A381E"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2</w:t>
            </w:r>
            <w:r w:rsidR="00263C5D">
              <w:rPr>
                <w:rFonts w:ascii="Times New Roman" w:eastAsia="Times New Roman" w:hAnsi="Times New Roman" w:cs="Times New Roman"/>
                <w:b/>
                <w:bCs/>
                <w:color w:val="000000" w:themeColor="text1"/>
                <w:sz w:val="18"/>
                <w:szCs w:val="18"/>
                <w:lang w:eastAsia="pl-PL"/>
              </w:rPr>
              <w:t>3</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34DC5463"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rynku nieruchomości</w:t>
            </w:r>
          </w:p>
        </w:tc>
        <w:tc>
          <w:tcPr>
            <w:tcW w:w="2267" w:type="dxa"/>
            <w:tcBorders>
              <w:top w:val="single" w:sz="4" w:space="0" w:color="000000"/>
              <w:left w:val="nil"/>
              <w:bottom w:val="single" w:sz="4" w:space="0" w:color="000000"/>
              <w:right w:val="single" w:sz="4" w:space="0" w:color="000000"/>
            </w:tcBorders>
            <w:shd w:val="clear" w:color="auto" w:fill="auto"/>
            <w:hideMark/>
          </w:tcPr>
          <w:p w14:paraId="039E2AD1" w14:textId="77777777" w:rsidR="003311CB" w:rsidRDefault="003311CB" w:rsidP="003311CB">
            <w:r w:rsidRPr="00CB51B1">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5DD4706"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nil"/>
              <w:bottom w:val="single" w:sz="4" w:space="0" w:color="000000"/>
              <w:right w:val="single" w:sz="4" w:space="0" w:color="auto"/>
            </w:tcBorders>
            <w:vAlign w:val="center"/>
          </w:tcPr>
          <w:p w14:paraId="74FAACBC" w14:textId="77777777" w:rsidR="003311CB" w:rsidRDefault="003311CB" w:rsidP="003311CB">
            <w:pPr>
              <w:spacing w:after="0"/>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FC1964A"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7B40C3B2"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1D5F1" w14:textId="448D9C26"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2</w:t>
            </w:r>
            <w:r w:rsidR="00263C5D">
              <w:rPr>
                <w:rFonts w:ascii="Times New Roman" w:eastAsia="Times New Roman" w:hAnsi="Times New Roman" w:cs="Times New Roman"/>
                <w:b/>
                <w:bCs/>
                <w:color w:val="000000" w:themeColor="text1"/>
                <w:sz w:val="18"/>
                <w:szCs w:val="18"/>
                <w:lang w:eastAsia="pl-PL"/>
              </w:rPr>
              <w:t>4</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70A964D3"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Poziom i dynamika kredytów udzielonych członkom Zarządu Banku i organów statutowych oraz osobom na kierowniczych stanowiskach</w:t>
            </w:r>
          </w:p>
        </w:tc>
        <w:tc>
          <w:tcPr>
            <w:tcW w:w="2267" w:type="dxa"/>
            <w:tcBorders>
              <w:top w:val="single" w:sz="4" w:space="0" w:color="000000"/>
              <w:left w:val="nil"/>
              <w:bottom w:val="single" w:sz="4" w:space="0" w:color="000000"/>
              <w:right w:val="single" w:sz="4" w:space="0" w:color="000000"/>
            </w:tcBorders>
            <w:shd w:val="clear" w:color="auto" w:fill="auto"/>
            <w:hideMark/>
          </w:tcPr>
          <w:p w14:paraId="2D8DF09C" w14:textId="77777777" w:rsidR="003311CB" w:rsidRDefault="003311CB" w:rsidP="003311CB">
            <w:r w:rsidRPr="00CB51B1">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9545130"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72BB60F9" w14:textId="77777777" w:rsidR="003311CB" w:rsidRDefault="003311CB" w:rsidP="003311CB">
            <w:pPr>
              <w:spacing w:after="0"/>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8415B0"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2D4CAB" w:rsidRPr="00D508B3" w14:paraId="1FB9923E" w14:textId="77777777" w:rsidTr="000E7813">
        <w:trPr>
          <w:trHeight w:val="640"/>
        </w:trPr>
        <w:tc>
          <w:tcPr>
            <w:tcW w:w="10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07DCB" w14:textId="77777777" w:rsidR="002D4CAB" w:rsidRPr="002D4CAB" w:rsidRDefault="002D4CAB" w:rsidP="002D4CAB">
            <w:pPr>
              <w:spacing w:after="0" w:line="240" w:lineRule="auto"/>
              <w:jc w:val="center"/>
              <w:rPr>
                <w:rFonts w:ascii="Times New Roman" w:eastAsia="Times New Roman" w:hAnsi="Times New Roman" w:cs="Times New Roman"/>
                <w:b/>
                <w:bCs/>
                <w:color w:val="000000" w:themeColor="text1"/>
                <w:sz w:val="18"/>
                <w:szCs w:val="18"/>
                <w:lang w:eastAsia="pl-PL"/>
              </w:rPr>
            </w:pPr>
          </w:p>
          <w:p w14:paraId="6E06D7F1" w14:textId="77777777" w:rsidR="002D4CAB" w:rsidRPr="002D4CAB" w:rsidRDefault="002D4CAB" w:rsidP="002D4CAB">
            <w:pPr>
              <w:spacing w:after="0" w:line="240" w:lineRule="auto"/>
              <w:jc w:val="center"/>
              <w:rPr>
                <w:rFonts w:ascii="Times New Roman" w:eastAsia="Times New Roman" w:hAnsi="Times New Roman" w:cs="Times New Roman"/>
                <w:b/>
                <w:bCs/>
                <w:color w:val="000000" w:themeColor="text1"/>
                <w:sz w:val="18"/>
                <w:szCs w:val="18"/>
                <w:lang w:eastAsia="pl-PL"/>
              </w:rPr>
            </w:pPr>
            <w:r w:rsidRPr="002D4CAB">
              <w:rPr>
                <w:rFonts w:ascii="Times New Roman" w:eastAsia="Times New Roman" w:hAnsi="Times New Roman" w:cs="Times New Roman"/>
                <w:b/>
                <w:bCs/>
                <w:color w:val="000000" w:themeColor="text1"/>
                <w:sz w:val="18"/>
                <w:szCs w:val="18"/>
                <w:lang w:eastAsia="pl-PL"/>
              </w:rPr>
              <w:t>Ryzyko operacyjne i braku zgodności:</w:t>
            </w:r>
          </w:p>
          <w:p w14:paraId="17973ADB" w14:textId="77777777" w:rsidR="002D4CAB" w:rsidRPr="002D4CAB" w:rsidRDefault="002D4CAB" w:rsidP="000E7813">
            <w:pPr>
              <w:spacing w:after="0" w:line="240" w:lineRule="auto"/>
              <w:rPr>
                <w:rFonts w:ascii="Times New Roman" w:eastAsia="Times New Roman" w:hAnsi="Times New Roman" w:cs="Times New Roman"/>
                <w:b/>
                <w:bCs/>
                <w:color w:val="000000" w:themeColor="text1"/>
                <w:sz w:val="18"/>
                <w:szCs w:val="18"/>
                <w:lang w:eastAsia="pl-PL"/>
              </w:rPr>
            </w:pPr>
          </w:p>
        </w:tc>
      </w:tr>
      <w:tr w:rsidR="003311CB" w:rsidRPr="00D508B3" w14:paraId="6B5A1D10"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C0E38" w14:textId="7314EF50"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lastRenderedPageBreak/>
              <w:t>2</w:t>
            </w:r>
            <w:r w:rsidR="00765F28">
              <w:rPr>
                <w:rFonts w:ascii="Times New Roman" w:eastAsia="Times New Roman" w:hAnsi="Times New Roman" w:cs="Times New Roman"/>
                <w:b/>
                <w:bCs/>
                <w:color w:val="000000" w:themeColor="text1"/>
                <w:sz w:val="18"/>
                <w:szCs w:val="18"/>
                <w:lang w:eastAsia="pl-PL"/>
              </w:rPr>
              <w:t>5</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E2A4EF1"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Raport zdarzeń oraz poziomu strat ryzyka operacyjnego</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82329CD"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807646E"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5EA4AA53" w14:textId="77777777" w:rsidR="003311CB" w:rsidRDefault="003311CB" w:rsidP="003311CB">
            <w:pPr>
              <w:spacing w:after="0"/>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E270E3D"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3311CB" w:rsidRPr="00D508B3" w14:paraId="3DEFA761"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9E605" w14:textId="468DB5A0" w:rsidR="003311CB" w:rsidRPr="00D508B3" w:rsidRDefault="00765F28"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26</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2B9A4DB8"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Informacja o prowadzonych sprawach sądowych oraz  informacja o kosztach poniesionych przez Bank w wyniku niekorzystnych rozstrzygnięć spraw sądowych</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59A46814"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Stanowisko organizacyjno-administracyjne</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339B81C"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2858D2C7" w14:textId="77777777" w:rsidR="003311CB" w:rsidRDefault="003311CB" w:rsidP="003311CB">
            <w:pPr>
              <w:spacing w:after="0"/>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29AF681"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3311CB" w:rsidRPr="00D508B3" w14:paraId="65E37CF3"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4F919" w14:textId="4C6E2E0D" w:rsidR="003311CB" w:rsidRPr="00D508B3" w:rsidRDefault="00765F28"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27</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2A050B26"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Informacja dotycząca zmian w środowisku teleinformatycznym w zakresie sieci, sprzętu, urządzeń sieciowych, oprogramowania, konfiguracji, aktualizacji dokumentacji</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1E898D32"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ASI</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DFA6938"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2AA349B5" w14:textId="77777777" w:rsidR="003311CB" w:rsidRDefault="003311CB" w:rsidP="003311CB">
            <w:pPr>
              <w:spacing w:after="0"/>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54F7FB7"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3311CB" w:rsidRPr="00D508B3" w14:paraId="002318FD"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D5E93" w14:textId="4C31C5A4" w:rsidR="003311CB" w:rsidRPr="00D508B3" w:rsidRDefault="00765F28"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28</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462279C"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Sprawozdanie z realizacji polityki kadrowej, planu szkoleń, zdarzeń dotycząceych kluczowych pracowników.</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4966F55"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Stanowisko organizacyjno-administracyjne</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A39B353"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32A12768" w14:textId="77777777" w:rsidR="003311CB" w:rsidRDefault="003311CB" w:rsidP="003311CB">
            <w:pPr>
              <w:spacing w:after="0"/>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7199B8"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3311CB" w:rsidRPr="00D508B3" w14:paraId="2AF6BC48"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2602D" w14:textId="140AFFE1" w:rsidR="003311CB" w:rsidRPr="00D508B3" w:rsidRDefault="00765F28"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29</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6DB07603"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współpracy z dostawcami zewnętrznymi</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25AC4D3F"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E1C42FA"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7D424988" w14:textId="77777777" w:rsidR="003311CB" w:rsidRDefault="003311CB" w:rsidP="003311CB">
            <w:pPr>
              <w:spacing w:after="0"/>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0BE901"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35179325"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1E5CE" w14:textId="7D820593"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3</w:t>
            </w:r>
            <w:r w:rsidR="00765F28">
              <w:rPr>
                <w:rFonts w:ascii="Times New Roman" w:eastAsia="Times New Roman" w:hAnsi="Times New Roman" w:cs="Times New Roman"/>
                <w:b/>
                <w:bCs/>
                <w:color w:val="000000" w:themeColor="text1"/>
                <w:sz w:val="18"/>
                <w:szCs w:val="18"/>
                <w:lang w:eastAsia="pl-PL"/>
              </w:rPr>
              <w:t>0</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1BF9ECE6"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Testy warunków skrajnych w zakresie ryzyka operacyjnego, weryfikacja przyjętych planów awaryjnych</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5E01FDF5"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r w:rsidRPr="00D508B3">
              <w:rPr>
                <w:rFonts w:ascii="Times New Roman" w:eastAsia="Times New Roman" w:hAnsi="Times New Roman" w:cs="Times New Roman"/>
                <w:b/>
                <w:bCs/>
                <w:color w:val="000000" w:themeColor="text1"/>
                <w:sz w:val="18"/>
                <w:szCs w:val="18"/>
                <w:lang w:eastAsia="pl-PL"/>
              </w:rPr>
              <w:t>, ASI</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D788802"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64066CB2" w14:textId="77777777" w:rsidR="003311CB" w:rsidRDefault="003311CB" w:rsidP="003311CB">
            <w:pPr>
              <w:spacing w:after="0"/>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4DCCD"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7676A2FE"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4B0C8" w14:textId="6FAE2D08"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3</w:t>
            </w:r>
            <w:r w:rsidR="00765F28">
              <w:rPr>
                <w:rFonts w:ascii="Times New Roman" w:eastAsia="Times New Roman" w:hAnsi="Times New Roman" w:cs="Times New Roman"/>
                <w:b/>
                <w:bCs/>
                <w:color w:val="000000" w:themeColor="text1"/>
                <w:sz w:val="18"/>
                <w:szCs w:val="18"/>
                <w:lang w:eastAsia="pl-PL"/>
              </w:rPr>
              <w:t>1</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6BAEC74A"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Sprawozdanie z realizacji zapis</w:t>
            </w:r>
            <w:r>
              <w:rPr>
                <w:rFonts w:ascii="Times New Roman" w:eastAsia="Times New Roman" w:hAnsi="Times New Roman" w:cs="Times New Roman"/>
                <w:bCs/>
                <w:color w:val="000000" w:themeColor="text1"/>
                <w:sz w:val="18"/>
                <w:szCs w:val="18"/>
                <w:lang w:eastAsia="pl-PL"/>
              </w:rPr>
              <w:t>ó</w:t>
            </w:r>
            <w:r w:rsidRPr="00D508B3">
              <w:rPr>
                <w:rFonts w:ascii="Times New Roman" w:eastAsia="Times New Roman" w:hAnsi="Times New Roman" w:cs="Times New Roman"/>
                <w:bCs/>
                <w:color w:val="000000" w:themeColor="text1"/>
                <w:sz w:val="18"/>
                <w:szCs w:val="18"/>
                <w:lang w:eastAsia="pl-PL"/>
              </w:rPr>
              <w:t>w Instrukcji "prania brudnych pieniędzy"</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2B204B89"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Analityk rejestru</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0FE7EBF"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nil"/>
              <w:bottom w:val="single" w:sz="4" w:space="0" w:color="000000"/>
              <w:right w:val="single" w:sz="4" w:space="0" w:color="auto"/>
            </w:tcBorders>
            <w:vAlign w:val="center"/>
          </w:tcPr>
          <w:p w14:paraId="0E510CCD" w14:textId="77777777" w:rsidR="003311CB" w:rsidRDefault="003311CB" w:rsidP="003311CB">
            <w:pPr>
              <w:spacing w:after="0"/>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64DCC7"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P</w:t>
            </w:r>
          </w:p>
        </w:tc>
      </w:tr>
      <w:tr w:rsidR="00D14C7C" w:rsidRPr="00D508B3" w14:paraId="79E471F3"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7EF45" w14:textId="650DCAFF"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3</w:t>
            </w:r>
            <w:r w:rsidR="00765F28">
              <w:rPr>
                <w:rFonts w:ascii="Times New Roman" w:eastAsia="Times New Roman" w:hAnsi="Times New Roman" w:cs="Times New Roman"/>
                <w:b/>
                <w:bCs/>
                <w:color w:val="000000" w:themeColor="text1"/>
                <w:sz w:val="18"/>
                <w:szCs w:val="18"/>
                <w:lang w:eastAsia="pl-PL"/>
              </w:rPr>
              <w:t>2</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88313CB" w14:textId="77777777" w:rsidR="00D14C7C" w:rsidRPr="00D508B3" w:rsidRDefault="00D14C7C" w:rsidP="00D508B3">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poziomu ryzyka braku zgodności</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279B118A" w14:textId="77777777" w:rsidR="00D14C7C" w:rsidRPr="00D508B3" w:rsidRDefault="000E7813"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Stanowisko ds. zgodności</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2FC96DB"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2F33FA1F" w14:textId="77777777" w:rsidR="00D14C7C" w:rsidRPr="00D508B3" w:rsidRDefault="000E7813"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0F3155"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D14C7C" w:rsidRPr="00D508B3" w14:paraId="21953DB2"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48305" w14:textId="4E071839"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3</w:t>
            </w:r>
            <w:r w:rsidR="00765F28">
              <w:rPr>
                <w:rFonts w:ascii="Times New Roman" w:eastAsia="Times New Roman" w:hAnsi="Times New Roman" w:cs="Times New Roman"/>
                <w:b/>
                <w:bCs/>
                <w:color w:val="000000" w:themeColor="text1"/>
                <w:sz w:val="18"/>
                <w:szCs w:val="18"/>
                <w:lang w:eastAsia="pl-PL"/>
              </w:rPr>
              <w:t>3</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7E532783" w14:textId="77777777" w:rsidR="00D14C7C" w:rsidRPr="00D508B3" w:rsidRDefault="00D14C7C" w:rsidP="00D508B3">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rejestru skarg i wniosków</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571FBE7B"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Stanowisko organizacyjno-administracyjne</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7DB521E"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33EA3625" w14:textId="77777777" w:rsidR="00D14C7C" w:rsidRPr="00D508B3" w:rsidRDefault="000E7813"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B2BFCFD" w14:textId="77777777" w:rsidR="00D14C7C" w:rsidRPr="00D508B3" w:rsidRDefault="00D14C7C" w:rsidP="00D508B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0E7813" w:rsidRPr="00D508B3" w14:paraId="250A2DB1"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8996" w14:textId="08424A70" w:rsidR="000E7813" w:rsidRPr="00D508B3" w:rsidRDefault="00765F28"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34</w:t>
            </w:r>
          </w:p>
        </w:tc>
        <w:tc>
          <w:tcPr>
            <w:tcW w:w="3865" w:type="dxa"/>
            <w:tcBorders>
              <w:top w:val="single" w:sz="4" w:space="0" w:color="000000"/>
              <w:left w:val="nil"/>
              <w:bottom w:val="single" w:sz="4" w:space="0" w:color="000000"/>
              <w:right w:val="single" w:sz="4" w:space="0" w:color="000000"/>
            </w:tcBorders>
            <w:shd w:val="clear" w:color="auto" w:fill="auto"/>
            <w:vAlign w:val="center"/>
          </w:tcPr>
          <w:p w14:paraId="5FE73AF9" w14:textId="77777777" w:rsidR="000E7813" w:rsidRPr="00D508B3" w:rsidRDefault="000E7813" w:rsidP="00D508B3">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Plan działania Stanowski ds. zgodności, raport z działalności</w:t>
            </w:r>
          </w:p>
        </w:tc>
        <w:tc>
          <w:tcPr>
            <w:tcW w:w="2267" w:type="dxa"/>
            <w:tcBorders>
              <w:top w:val="single" w:sz="4" w:space="0" w:color="000000"/>
              <w:left w:val="nil"/>
              <w:bottom w:val="single" w:sz="4" w:space="0" w:color="000000"/>
              <w:right w:val="single" w:sz="4" w:space="0" w:color="000000"/>
            </w:tcBorders>
            <w:shd w:val="clear" w:color="auto" w:fill="auto"/>
            <w:vAlign w:val="center"/>
          </w:tcPr>
          <w:p w14:paraId="44CE497C" w14:textId="77777777" w:rsidR="000E7813" w:rsidRPr="00D508B3" w:rsidRDefault="000E7813"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Stanowisko ds. zgodności</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8E5EA85" w14:textId="77777777" w:rsidR="000E7813" w:rsidRPr="00D508B3" w:rsidRDefault="000E7813"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6762CD4D" w14:textId="77777777" w:rsidR="000E7813" w:rsidRDefault="000E7813"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546AECC5" w14:textId="77777777" w:rsidR="000E7813" w:rsidRPr="00D508B3" w:rsidRDefault="000E7813"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765F28" w:rsidRPr="00D508B3" w14:paraId="1E13901E" w14:textId="77777777" w:rsidTr="00765F28">
        <w:trPr>
          <w:trHeight w:val="346"/>
        </w:trPr>
        <w:tc>
          <w:tcPr>
            <w:tcW w:w="10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B48307" w14:textId="287D78D3" w:rsidR="00765F28" w:rsidRDefault="00765F28" w:rsidP="00D508B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IT</w:t>
            </w:r>
          </w:p>
        </w:tc>
      </w:tr>
      <w:tr w:rsidR="00765F28" w:rsidRPr="00D508B3" w14:paraId="76132F11"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C90E" w14:textId="7B23367A" w:rsid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35</w:t>
            </w:r>
          </w:p>
        </w:tc>
        <w:tc>
          <w:tcPr>
            <w:tcW w:w="3865" w:type="dxa"/>
            <w:tcBorders>
              <w:top w:val="single" w:sz="4" w:space="0" w:color="000000"/>
              <w:left w:val="nil"/>
              <w:bottom w:val="single" w:sz="4" w:space="0" w:color="000000"/>
              <w:right w:val="single" w:sz="4" w:space="0" w:color="000000"/>
            </w:tcBorders>
            <w:shd w:val="clear" w:color="auto" w:fill="auto"/>
            <w:vAlign w:val="center"/>
          </w:tcPr>
          <w:p w14:paraId="1670D456" w14:textId="68605194" w:rsidR="00765F28" w:rsidRPr="00765F28" w:rsidRDefault="00765F28" w:rsidP="00765F28">
            <w:pPr>
              <w:spacing w:after="0" w:line="240" w:lineRule="auto"/>
              <w:rPr>
                <w:rFonts w:ascii="Times New Roman" w:eastAsia="Times New Roman" w:hAnsi="Times New Roman" w:cs="Times New Roman"/>
                <w:bCs/>
                <w:sz w:val="18"/>
                <w:szCs w:val="18"/>
                <w:lang w:eastAsia="pl-PL"/>
              </w:rPr>
            </w:pPr>
            <w:r w:rsidRPr="00765F28">
              <w:rPr>
                <w:rFonts w:ascii="Times New Roman" w:hAnsi="Times New Roman" w:cs="Times New Roman"/>
                <w:sz w:val="18"/>
                <w:szCs w:val="18"/>
              </w:rPr>
              <w:t xml:space="preserve">Przegląd zarządczy struktury organizacyjnej (obejmująca obszar technologii informacyjnej i bezpieczeństwa środowiska teleinformatycznego) </w:t>
            </w:r>
          </w:p>
        </w:tc>
        <w:tc>
          <w:tcPr>
            <w:tcW w:w="2267" w:type="dxa"/>
            <w:tcBorders>
              <w:top w:val="single" w:sz="4" w:space="0" w:color="000000"/>
              <w:left w:val="nil"/>
              <w:bottom w:val="single" w:sz="4" w:space="0" w:color="000000"/>
              <w:right w:val="single" w:sz="4" w:space="0" w:color="000000"/>
            </w:tcBorders>
            <w:shd w:val="clear" w:color="auto" w:fill="auto"/>
            <w:vAlign w:val="center"/>
          </w:tcPr>
          <w:p w14:paraId="018EAE34" w14:textId="52267AF9" w:rsidR="00765F28" w:rsidRPr="00765F28" w:rsidRDefault="00765F28" w:rsidP="00765F28">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Członek Zarządu ds.. Finansowo - księgowych</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9BDB4E4" w14:textId="294884FD" w:rsidR="00765F28" w:rsidRPr="00765F28" w:rsidRDefault="00765F28" w:rsidP="00765F28">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R</w:t>
            </w:r>
          </w:p>
        </w:tc>
        <w:tc>
          <w:tcPr>
            <w:tcW w:w="1280" w:type="dxa"/>
            <w:tcBorders>
              <w:top w:val="single" w:sz="4" w:space="0" w:color="000000"/>
              <w:left w:val="nil"/>
              <w:bottom w:val="single" w:sz="4" w:space="0" w:color="000000"/>
              <w:right w:val="single" w:sz="4" w:space="0" w:color="auto"/>
            </w:tcBorders>
            <w:vAlign w:val="center"/>
          </w:tcPr>
          <w:p w14:paraId="5DD16AEA" w14:textId="5E22B247" w:rsidR="00765F28" w:rsidRPr="00765F28" w:rsidRDefault="00765F28" w:rsidP="00765F28">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45FF8161" w14:textId="741E3BDC" w:rsidR="00765F28" w:rsidRPr="00765F28" w:rsidRDefault="00765F28" w:rsidP="00765F28">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R</w:t>
            </w:r>
          </w:p>
        </w:tc>
      </w:tr>
      <w:tr w:rsidR="00765F28" w:rsidRPr="00D508B3" w14:paraId="0DA1A1CB"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66D6" w14:textId="10EDE6AD" w:rsid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36</w:t>
            </w:r>
          </w:p>
        </w:tc>
        <w:tc>
          <w:tcPr>
            <w:tcW w:w="3865" w:type="dxa"/>
            <w:tcBorders>
              <w:top w:val="single" w:sz="4" w:space="0" w:color="000000"/>
              <w:left w:val="nil"/>
              <w:bottom w:val="single" w:sz="4" w:space="0" w:color="000000"/>
              <w:right w:val="single" w:sz="4" w:space="0" w:color="000000"/>
            </w:tcBorders>
            <w:shd w:val="clear" w:color="auto" w:fill="auto"/>
            <w:vAlign w:val="center"/>
          </w:tcPr>
          <w:p w14:paraId="39EBE37B" w14:textId="46EB609B" w:rsidR="00765F28" w:rsidRPr="00765F28" w:rsidRDefault="00765F28" w:rsidP="00765F28">
            <w:pPr>
              <w:spacing w:after="0" w:line="240" w:lineRule="auto"/>
              <w:rPr>
                <w:rFonts w:ascii="Times New Roman" w:eastAsia="Times New Roman" w:hAnsi="Times New Roman" w:cs="Times New Roman"/>
                <w:bCs/>
                <w:sz w:val="18"/>
                <w:szCs w:val="18"/>
                <w:lang w:eastAsia="pl-PL"/>
              </w:rPr>
            </w:pPr>
            <w:r w:rsidRPr="00765F28">
              <w:rPr>
                <w:rFonts w:ascii="Times New Roman" w:hAnsi="Times New Roman" w:cs="Times New Roman"/>
                <w:sz w:val="18"/>
                <w:szCs w:val="18"/>
              </w:rPr>
              <w:t>Weryfikacja dokumentów przekazywanych na zewnątrz</w:t>
            </w:r>
          </w:p>
        </w:tc>
        <w:tc>
          <w:tcPr>
            <w:tcW w:w="2267" w:type="dxa"/>
            <w:tcBorders>
              <w:top w:val="single" w:sz="4" w:space="0" w:color="000000"/>
              <w:left w:val="nil"/>
              <w:bottom w:val="single" w:sz="4" w:space="0" w:color="000000"/>
              <w:right w:val="single" w:sz="4" w:space="0" w:color="000000"/>
            </w:tcBorders>
            <w:shd w:val="clear" w:color="auto" w:fill="auto"/>
            <w:vAlign w:val="center"/>
          </w:tcPr>
          <w:p w14:paraId="2982AC74" w14:textId="4EE5F38C" w:rsidR="00765F28" w:rsidRPr="00765F28" w:rsidRDefault="00765F28" w:rsidP="00765F28">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51EBA4E" w14:textId="66BD2882" w:rsidR="00765F28" w:rsidRPr="00765F28" w:rsidRDefault="00765F28" w:rsidP="00765F28">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R</w:t>
            </w:r>
          </w:p>
        </w:tc>
        <w:tc>
          <w:tcPr>
            <w:tcW w:w="1280" w:type="dxa"/>
            <w:tcBorders>
              <w:top w:val="single" w:sz="4" w:space="0" w:color="000000"/>
              <w:left w:val="nil"/>
              <w:bottom w:val="single" w:sz="4" w:space="0" w:color="000000"/>
              <w:right w:val="single" w:sz="4" w:space="0" w:color="auto"/>
            </w:tcBorders>
            <w:vAlign w:val="center"/>
          </w:tcPr>
          <w:p w14:paraId="56DE05D8" w14:textId="01C7FD97" w:rsidR="00765F28" w:rsidRPr="00765F28" w:rsidRDefault="00765F28" w:rsidP="00765F28">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1E932290" w14:textId="70582EB8" w:rsidR="00765F28" w:rsidRPr="00765F28" w:rsidRDefault="00765F28" w:rsidP="00765F28">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R</w:t>
            </w:r>
          </w:p>
        </w:tc>
      </w:tr>
      <w:tr w:rsidR="00765F28" w:rsidRPr="00D508B3" w14:paraId="7BD4BAB4"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23AB2" w14:textId="020530C7" w:rsid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37</w:t>
            </w:r>
          </w:p>
        </w:tc>
        <w:tc>
          <w:tcPr>
            <w:tcW w:w="3865" w:type="dxa"/>
            <w:tcBorders>
              <w:top w:val="single" w:sz="4" w:space="0" w:color="000000"/>
              <w:left w:val="nil"/>
              <w:bottom w:val="single" w:sz="4" w:space="0" w:color="000000"/>
              <w:right w:val="single" w:sz="4" w:space="0" w:color="000000"/>
            </w:tcBorders>
            <w:shd w:val="clear" w:color="auto" w:fill="auto"/>
            <w:vAlign w:val="center"/>
          </w:tcPr>
          <w:p w14:paraId="2AE295E2" w14:textId="52580F92" w:rsidR="00765F28" w:rsidRPr="00765F28"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765F28">
              <w:rPr>
                <w:rFonts w:ascii="Times New Roman" w:hAnsi="Times New Roman" w:cs="Times New Roman"/>
                <w:sz w:val="18"/>
                <w:szCs w:val="18"/>
              </w:rPr>
              <w:t>Analiza realizacji strategii w zakresie obszarów technologii informacyjnej oraz bezpieczeństwa środowiska teleinformatycznego</w:t>
            </w:r>
          </w:p>
        </w:tc>
        <w:tc>
          <w:tcPr>
            <w:tcW w:w="2267" w:type="dxa"/>
            <w:tcBorders>
              <w:top w:val="single" w:sz="4" w:space="0" w:color="000000"/>
              <w:left w:val="nil"/>
              <w:bottom w:val="single" w:sz="4" w:space="0" w:color="000000"/>
              <w:right w:val="single" w:sz="4" w:space="0" w:color="000000"/>
            </w:tcBorders>
            <w:shd w:val="clear" w:color="auto" w:fill="auto"/>
            <w:vAlign w:val="center"/>
          </w:tcPr>
          <w:p w14:paraId="519CC310" w14:textId="175A32D3"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ASI</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5F40CFD" w14:textId="7A5C99DF"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c>
          <w:tcPr>
            <w:tcW w:w="1280" w:type="dxa"/>
            <w:tcBorders>
              <w:top w:val="single" w:sz="4" w:space="0" w:color="000000"/>
              <w:left w:val="nil"/>
              <w:bottom w:val="single" w:sz="4" w:space="0" w:color="000000"/>
              <w:right w:val="single" w:sz="4" w:space="0" w:color="auto"/>
            </w:tcBorders>
            <w:vAlign w:val="center"/>
          </w:tcPr>
          <w:p w14:paraId="7EA30705" w14:textId="4D87FC51"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14519" w14:textId="74E79673"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r>
      <w:tr w:rsidR="00765F28" w:rsidRPr="00D508B3" w14:paraId="4A0AB538"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61D5" w14:textId="1C2CE3F0" w:rsid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38</w:t>
            </w:r>
          </w:p>
        </w:tc>
        <w:tc>
          <w:tcPr>
            <w:tcW w:w="3865" w:type="dxa"/>
            <w:tcBorders>
              <w:top w:val="single" w:sz="4" w:space="0" w:color="000000"/>
              <w:left w:val="nil"/>
              <w:bottom w:val="single" w:sz="4" w:space="0" w:color="000000"/>
              <w:right w:val="single" w:sz="4" w:space="0" w:color="000000"/>
            </w:tcBorders>
            <w:shd w:val="clear" w:color="auto" w:fill="auto"/>
            <w:vAlign w:val="center"/>
          </w:tcPr>
          <w:p w14:paraId="03B9E84C" w14:textId="7383B09C" w:rsidR="00765F28" w:rsidRPr="00765F28"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765F28">
              <w:rPr>
                <w:rFonts w:ascii="Times New Roman" w:hAnsi="Times New Roman" w:cs="Times New Roman"/>
                <w:sz w:val="18"/>
                <w:szCs w:val="18"/>
              </w:rPr>
              <w:t>Informacja o stanie bezpieczeństwa  środowiska teleinformatycznego Banku oraz elektronicznych kanałów dostępu, Wyniki TWS</w:t>
            </w:r>
          </w:p>
        </w:tc>
        <w:tc>
          <w:tcPr>
            <w:tcW w:w="2267" w:type="dxa"/>
            <w:tcBorders>
              <w:top w:val="single" w:sz="4" w:space="0" w:color="000000"/>
              <w:left w:val="nil"/>
              <w:bottom w:val="single" w:sz="4" w:space="0" w:color="000000"/>
              <w:right w:val="single" w:sz="4" w:space="0" w:color="000000"/>
            </w:tcBorders>
            <w:shd w:val="clear" w:color="auto" w:fill="auto"/>
            <w:vAlign w:val="center"/>
          </w:tcPr>
          <w:p w14:paraId="0E115CC4" w14:textId="1E1B542C"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ASI</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B2084AC" w14:textId="1978ED6F"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c>
          <w:tcPr>
            <w:tcW w:w="1280" w:type="dxa"/>
            <w:tcBorders>
              <w:top w:val="single" w:sz="4" w:space="0" w:color="000000"/>
              <w:left w:val="nil"/>
              <w:bottom w:val="single" w:sz="4" w:space="0" w:color="000000"/>
              <w:right w:val="single" w:sz="4" w:space="0" w:color="auto"/>
            </w:tcBorders>
            <w:vAlign w:val="center"/>
          </w:tcPr>
          <w:p w14:paraId="398EA08A" w14:textId="4F397FCF"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2FB190BF" w14:textId="6BE902C9"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r>
      <w:tr w:rsidR="00765F28" w:rsidRPr="00D508B3" w14:paraId="6EF42BF3"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892A" w14:textId="2847061C" w:rsid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39</w:t>
            </w:r>
          </w:p>
        </w:tc>
        <w:tc>
          <w:tcPr>
            <w:tcW w:w="3865" w:type="dxa"/>
            <w:tcBorders>
              <w:top w:val="single" w:sz="4" w:space="0" w:color="000000"/>
              <w:left w:val="nil"/>
              <w:bottom w:val="single" w:sz="4" w:space="0" w:color="000000"/>
              <w:right w:val="single" w:sz="4" w:space="0" w:color="000000"/>
            </w:tcBorders>
            <w:shd w:val="clear" w:color="auto" w:fill="auto"/>
            <w:vAlign w:val="center"/>
          </w:tcPr>
          <w:p w14:paraId="4BD2104F" w14:textId="651CCA02" w:rsidR="00765F28" w:rsidRPr="00765F28"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765F28">
              <w:rPr>
                <w:rFonts w:ascii="Times New Roman" w:hAnsi="Times New Roman" w:cs="Times New Roman"/>
                <w:color w:val="000000"/>
                <w:sz w:val="18"/>
                <w:szCs w:val="18"/>
              </w:rPr>
              <w:t xml:space="preserve">Raport obejmujący ocenę zarządzania środowiskiem teleinf. i wyniki kontroli uprawnień, Przegląd Polityk w zakresie ODO, ocenę środków bezpieczeństwa płatności internetowych </w:t>
            </w:r>
          </w:p>
        </w:tc>
        <w:tc>
          <w:tcPr>
            <w:tcW w:w="2267" w:type="dxa"/>
            <w:tcBorders>
              <w:top w:val="single" w:sz="4" w:space="0" w:color="000000"/>
              <w:left w:val="nil"/>
              <w:bottom w:val="single" w:sz="4" w:space="0" w:color="000000"/>
              <w:right w:val="single" w:sz="4" w:space="0" w:color="000000"/>
            </w:tcBorders>
            <w:shd w:val="clear" w:color="auto" w:fill="auto"/>
            <w:vAlign w:val="center"/>
          </w:tcPr>
          <w:p w14:paraId="54C890DF" w14:textId="1C7EABA2"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IODO</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D6AA39D" w14:textId="428B37D3"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c>
          <w:tcPr>
            <w:tcW w:w="1280" w:type="dxa"/>
            <w:tcBorders>
              <w:top w:val="single" w:sz="4" w:space="0" w:color="000000"/>
              <w:left w:val="nil"/>
              <w:bottom w:val="single" w:sz="4" w:space="0" w:color="000000"/>
              <w:right w:val="single" w:sz="4" w:space="0" w:color="auto"/>
            </w:tcBorders>
            <w:vAlign w:val="center"/>
          </w:tcPr>
          <w:p w14:paraId="6F138763" w14:textId="71E9688D"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5B3DDA7F" w14:textId="225CCD54" w:rsidR="00765F28" w:rsidRPr="00765F28"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r>
      <w:tr w:rsidR="000E7813" w:rsidRPr="00D508B3" w14:paraId="606DC98E" w14:textId="77777777" w:rsidTr="000E7813">
        <w:trPr>
          <w:trHeight w:val="457"/>
        </w:trPr>
        <w:tc>
          <w:tcPr>
            <w:tcW w:w="10211"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14:paraId="5A889DDC" w14:textId="77777777" w:rsidR="000E7813" w:rsidRPr="000E7813" w:rsidRDefault="000E7813" w:rsidP="000E7813">
            <w:pPr>
              <w:spacing w:after="0" w:line="240" w:lineRule="auto"/>
              <w:jc w:val="center"/>
              <w:rPr>
                <w:rFonts w:ascii="Times New Roman" w:eastAsia="Times New Roman" w:hAnsi="Times New Roman" w:cs="Times New Roman"/>
                <w:b/>
                <w:bCs/>
                <w:color w:val="000000" w:themeColor="text1"/>
                <w:sz w:val="18"/>
                <w:szCs w:val="18"/>
                <w:lang w:eastAsia="pl-PL"/>
              </w:rPr>
            </w:pPr>
            <w:r w:rsidRPr="000E7813">
              <w:rPr>
                <w:rFonts w:ascii="Times New Roman" w:eastAsia="Times New Roman" w:hAnsi="Times New Roman" w:cs="Times New Roman"/>
                <w:b/>
                <w:bCs/>
                <w:color w:val="000000" w:themeColor="text1"/>
                <w:sz w:val="18"/>
                <w:szCs w:val="18"/>
                <w:lang w:eastAsia="pl-PL"/>
              </w:rPr>
              <w:t>Ryzyko stopy procentowej:</w:t>
            </w:r>
          </w:p>
          <w:p w14:paraId="461CF848" w14:textId="77777777" w:rsidR="000E7813" w:rsidRPr="000E7813" w:rsidRDefault="000E7813" w:rsidP="000E7813">
            <w:pPr>
              <w:spacing w:after="0" w:line="240" w:lineRule="auto"/>
              <w:jc w:val="center"/>
              <w:rPr>
                <w:rFonts w:ascii="Times New Roman" w:eastAsia="Times New Roman" w:hAnsi="Times New Roman" w:cs="Times New Roman"/>
                <w:b/>
                <w:bCs/>
                <w:color w:val="000000" w:themeColor="text1"/>
                <w:sz w:val="18"/>
                <w:szCs w:val="18"/>
                <w:lang w:eastAsia="pl-PL"/>
              </w:rPr>
            </w:pPr>
          </w:p>
        </w:tc>
      </w:tr>
      <w:tr w:rsidR="000E7813" w:rsidRPr="00D508B3" w14:paraId="15CB3C25" w14:textId="77777777" w:rsidTr="00C17547">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3FE6" w14:textId="3BB25499" w:rsidR="000E7813" w:rsidRPr="00D508B3" w:rsidRDefault="000E7813" w:rsidP="000E781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4</w:t>
            </w:r>
            <w:r w:rsidR="00765F28">
              <w:rPr>
                <w:rFonts w:ascii="Times New Roman" w:eastAsia="Times New Roman" w:hAnsi="Times New Roman" w:cs="Times New Roman"/>
                <w:b/>
                <w:bCs/>
                <w:color w:val="000000" w:themeColor="text1"/>
                <w:sz w:val="18"/>
                <w:szCs w:val="18"/>
                <w:lang w:eastAsia="pl-PL"/>
              </w:rPr>
              <w:t>0</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5D2494C" w14:textId="77777777" w:rsidR="000E7813" w:rsidRPr="00D508B3" w:rsidRDefault="000E7813" w:rsidP="000E7813">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marży, ocena jej wpływu na wynik finansowy Banku</w:t>
            </w:r>
          </w:p>
        </w:tc>
        <w:tc>
          <w:tcPr>
            <w:tcW w:w="2267" w:type="dxa"/>
            <w:tcBorders>
              <w:top w:val="single" w:sz="4" w:space="0" w:color="000000"/>
              <w:left w:val="nil"/>
              <w:bottom w:val="single" w:sz="4" w:space="0" w:color="000000"/>
              <w:right w:val="single" w:sz="4" w:space="0" w:color="000000"/>
            </w:tcBorders>
            <w:shd w:val="clear" w:color="auto" w:fill="auto"/>
            <w:hideMark/>
          </w:tcPr>
          <w:p w14:paraId="2F52D46F" w14:textId="77777777" w:rsidR="000E7813" w:rsidRDefault="000E7813" w:rsidP="000E7813">
            <w:r w:rsidRPr="007B5D60">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7AC686A" w14:textId="77777777" w:rsidR="000E7813" w:rsidRPr="00D508B3" w:rsidRDefault="000E7813" w:rsidP="000E781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 (na każdym planowanym posiedzeniu)</w:t>
            </w:r>
          </w:p>
        </w:tc>
        <w:tc>
          <w:tcPr>
            <w:tcW w:w="1280" w:type="dxa"/>
            <w:tcBorders>
              <w:top w:val="single" w:sz="4" w:space="0" w:color="000000"/>
              <w:left w:val="nil"/>
              <w:bottom w:val="single" w:sz="4" w:space="0" w:color="000000"/>
              <w:right w:val="single" w:sz="4" w:space="0" w:color="auto"/>
            </w:tcBorders>
            <w:vAlign w:val="center"/>
          </w:tcPr>
          <w:p w14:paraId="4C2E65ED" w14:textId="77777777" w:rsidR="000E7813" w:rsidRPr="00D508B3" w:rsidRDefault="00C17547" w:rsidP="000E7813">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091083" w14:textId="77777777" w:rsidR="000E7813" w:rsidRPr="00D508B3" w:rsidRDefault="000E7813" w:rsidP="000E781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0E7813" w:rsidRPr="00D508B3" w14:paraId="6466831D"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F2704" w14:textId="7BA54945" w:rsidR="000E7813" w:rsidRPr="00D508B3" w:rsidRDefault="000E7813" w:rsidP="000E7813">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4</w:t>
            </w:r>
            <w:r w:rsidR="00765F28">
              <w:rPr>
                <w:rFonts w:ascii="Times New Roman" w:eastAsia="Times New Roman" w:hAnsi="Times New Roman" w:cs="Times New Roman"/>
                <w:b/>
                <w:bCs/>
                <w:color w:val="000000" w:themeColor="text1"/>
                <w:sz w:val="18"/>
                <w:szCs w:val="18"/>
                <w:lang w:eastAsia="pl-PL"/>
              </w:rPr>
              <w:t>1</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16189A8C" w14:textId="77777777" w:rsidR="000E7813" w:rsidRPr="00D508B3" w:rsidRDefault="000E7813" w:rsidP="000E7813">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luki stóp  procentowych</w:t>
            </w:r>
          </w:p>
        </w:tc>
        <w:tc>
          <w:tcPr>
            <w:tcW w:w="2267" w:type="dxa"/>
            <w:tcBorders>
              <w:top w:val="single" w:sz="4" w:space="0" w:color="000000"/>
              <w:left w:val="nil"/>
              <w:bottom w:val="single" w:sz="4" w:space="0" w:color="000000"/>
              <w:right w:val="single" w:sz="4" w:space="0" w:color="000000"/>
            </w:tcBorders>
            <w:shd w:val="clear" w:color="auto" w:fill="auto"/>
            <w:hideMark/>
          </w:tcPr>
          <w:p w14:paraId="48EDBB62" w14:textId="77777777" w:rsidR="000E7813" w:rsidRDefault="000E7813" w:rsidP="000E7813">
            <w:r w:rsidRPr="007B5D60">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33A863A" w14:textId="77777777" w:rsidR="000E7813" w:rsidRPr="00D508B3" w:rsidRDefault="000E7813"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573C40ED" w14:textId="77777777" w:rsidR="000E7813"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D93A67B" w14:textId="77777777" w:rsidR="000E7813" w:rsidRPr="00D508B3" w:rsidRDefault="000E7813"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 (lub po zmianie rynkowych stóp procentowych)</w:t>
            </w:r>
          </w:p>
        </w:tc>
      </w:tr>
      <w:tr w:rsidR="003311CB" w:rsidRPr="00D508B3" w14:paraId="06F1ED51"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0E5D9" w14:textId="7D3DE831"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lastRenderedPageBreak/>
              <w:t>4</w:t>
            </w:r>
            <w:r w:rsidR="00765F28">
              <w:rPr>
                <w:rFonts w:ascii="Times New Roman" w:eastAsia="Times New Roman" w:hAnsi="Times New Roman" w:cs="Times New Roman"/>
                <w:b/>
                <w:bCs/>
                <w:color w:val="000000" w:themeColor="text1"/>
                <w:sz w:val="18"/>
                <w:szCs w:val="18"/>
                <w:lang w:eastAsia="pl-PL"/>
              </w:rPr>
              <w:t>2</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23E8867" w14:textId="77777777" w:rsidR="003311CB" w:rsidRPr="00D508B3" w:rsidRDefault="003311CB" w:rsidP="003311CB">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wpływu zmian stóp procentowych na wynik odsetkowy(wynik finansowy) Banku</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7403B7B3"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DAB3787"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3C7E064B" w14:textId="77777777" w:rsidR="003311CB" w:rsidRDefault="003311CB" w:rsidP="003311CB">
            <w:pPr>
              <w:spacing w:after="0"/>
              <w:jc w:val="center"/>
            </w:pPr>
            <w:r w:rsidRPr="003558F0">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C43354" w14:textId="77777777" w:rsidR="003311CB" w:rsidRPr="00D508B3" w:rsidRDefault="003311CB" w:rsidP="003311CB">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765F28" w:rsidRPr="00D508B3" w14:paraId="22104CDB"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880F" w14:textId="4B018F72"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43</w:t>
            </w:r>
          </w:p>
        </w:tc>
        <w:tc>
          <w:tcPr>
            <w:tcW w:w="3865" w:type="dxa"/>
            <w:tcBorders>
              <w:top w:val="single" w:sz="4" w:space="0" w:color="000000"/>
              <w:left w:val="nil"/>
              <w:bottom w:val="single" w:sz="4" w:space="0" w:color="000000"/>
              <w:right w:val="single" w:sz="4" w:space="0" w:color="000000"/>
            </w:tcBorders>
            <w:shd w:val="clear" w:color="auto" w:fill="auto"/>
            <w:vAlign w:val="center"/>
          </w:tcPr>
          <w:p w14:paraId="078455AF" w14:textId="6A670A5F"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765F28">
              <w:rPr>
                <w:rFonts w:ascii="Times New Roman" w:eastAsia="Times New Roman" w:hAnsi="Times New Roman" w:cs="Times New Roman"/>
                <w:bCs/>
                <w:color w:val="000000" w:themeColor="text1"/>
                <w:sz w:val="18"/>
                <w:szCs w:val="18"/>
                <w:lang w:eastAsia="pl-PL"/>
              </w:rPr>
              <w:t>Analiza TWS oraz scenariuszy</w:t>
            </w:r>
          </w:p>
        </w:tc>
        <w:tc>
          <w:tcPr>
            <w:tcW w:w="2267" w:type="dxa"/>
            <w:tcBorders>
              <w:top w:val="single" w:sz="4" w:space="0" w:color="000000"/>
              <w:left w:val="nil"/>
              <w:bottom w:val="single" w:sz="4" w:space="0" w:color="000000"/>
              <w:right w:val="single" w:sz="4" w:space="0" w:color="000000"/>
            </w:tcBorders>
            <w:shd w:val="clear" w:color="auto" w:fill="auto"/>
            <w:vAlign w:val="center"/>
          </w:tcPr>
          <w:p w14:paraId="7AD7D0D2" w14:textId="2D28FCD4"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472F59C" w14:textId="18782BC2"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09453C1D" w14:textId="553363AD" w:rsidR="00765F28" w:rsidRPr="003558F0" w:rsidRDefault="00765F28" w:rsidP="00765F28">
            <w:pPr>
              <w:spacing w:after="0"/>
              <w:jc w:val="center"/>
              <w:rPr>
                <w:rFonts w:ascii="Times New Roman" w:eastAsia="Times New Roman" w:hAnsi="Times New Roman" w:cs="Times New Roman"/>
                <w:b/>
                <w:bCs/>
                <w:color w:val="000000" w:themeColor="text1"/>
                <w:sz w:val="18"/>
                <w:szCs w:val="18"/>
                <w:lang w:eastAsia="pl-PL"/>
              </w:rPr>
            </w:pPr>
            <w:r w:rsidRPr="003558F0">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401FE13A" w14:textId="141780EC"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r>
      <w:tr w:rsidR="00765F28" w:rsidRPr="00D508B3" w14:paraId="7BB07310"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0110" w14:textId="20374091"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44</w:t>
            </w:r>
          </w:p>
        </w:tc>
        <w:tc>
          <w:tcPr>
            <w:tcW w:w="3865" w:type="dxa"/>
            <w:tcBorders>
              <w:top w:val="single" w:sz="4" w:space="0" w:color="000000"/>
              <w:left w:val="nil"/>
              <w:bottom w:val="single" w:sz="4" w:space="0" w:color="000000"/>
              <w:right w:val="single" w:sz="4" w:space="0" w:color="000000"/>
            </w:tcBorders>
            <w:shd w:val="clear" w:color="auto" w:fill="auto"/>
            <w:vAlign w:val="center"/>
          </w:tcPr>
          <w:p w14:paraId="087784FA"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Weryfikacja limitów, TWS</w:t>
            </w:r>
          </w:p>
        </w:tc>
        <w:tc>
          <w:tcPr>
            <w:tcW w:w="2267" w:type="dxa"/>
            <w:tcBorders>
              <w:top w:val="single" w:sz="4" w:space="0" w:color="000000"/>
              <w:left w:val="nil"/>
              <w:bottom w:val="single" w:sz="4" w:space="0" w:color="000000"/>
              <w:right w:val="single" w:sz="4" w:space="0" w:color="000000"/>
            </w:tcBorders>
            <w:shd w:val="clear" w:color="auto" w:fill="auto"/>
            <w:vAlign w:val="center"/>
          </w:tcPr>
          <w:p w14:paraId="6C352D34"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F14218B"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5257C2DD" w14:textId="77777777" w:rsidR="00765F28" w:rsidRDefault="00765F28" w:rsidP="00765F28">
            <w:pPr>
              <w:spacing w:after="0"/>
              <w:jc w:val="center"/>
            </w:pPr>
            <w:r w:rsidRPr="003558F0">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0BDB6B4F"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765F28" w:rsidRPr="00D508B3" w14:paraId="514727ED" w14:textId="77777777" w:rsidTr="000E7813">
        <w:trPr>
          <w:trHeight w:val="503"/>
        </w:trPr>
        <w:tc>
          <w:tcPr>
            <w:tcW w:w="10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23F3" w14:textId="77777777" w:rsidR="00765F28" w:rsidRPr="000E781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p>
          <w:p w14:paraId="66DEF3EC" w14:textId="77777777" w:rsidR="00765F28" w:rsidRPr="000E781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0E7813">
              <w:rPr>
                <w:rFonts w:ascii="Times New Roman" w:eastAsia="Times New Roman" w:hAnsi="Times New Roman" w:cs="Times New Roman"/>
                <w:b/>
                <w:bCs/>
                <w:color w:val="000000" w:themeColor="text1"/>
                <w:sz w:val="18"/>
                <w:szCs w:val="18"/>
                <w:lang w:eastAsia="pl-PL"/>
              </w:rPr>
              <w:t>Ryzyko płynności:</w:t>
            </w:r>
          </w:p>
          <w:p w14:paraId="12408BFD" w14:textId="77777777" w:rsidR="00765F28" w:rsidRPr="000E7813" w:rsidRDefault="00765F28" w:rsidP="00765F28">
            <w:pPr>
              <w:spacing w:after="0" w:line="240" w:lineRule="auto"/>
              <w:rPr>
                <w:rFonts w:ascii="Times New Roman" w:eastAsia="Times New Roman" w:hAnsi="Times New Roman" w:cs="Times New Roman"/>
                <w:b/>
                <w:bCs/>
                <w:color w:val="000000" w:themeColor="text1"/>
                <w:sz w:val="18"/>
                <w:szCs w:val="18"/>
                <w:lang w:eastAsia="pl-PL"/>
              </w:rPr>
            </w:pPr>
          </w:p>
        </w:tc>
      </w:tr>
      <w:tr w:rsidR="00765F28" w:rsidRPr="00D508B3" w14:paraId="2C9D43E8"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37FB9" w14:textId="3F24095B"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45</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19D7A0C5"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Płynność śróddzienna, nadwyżka płynności. Prognoza płynności w celu lokowania środków z rachunku bieżącego</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03F60C4"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A6FDF5A"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nil"/>
              <w:bottom w:val="single" w:sz="4" w:space="0" w:color="000000"/>
              <w:right w:val="single" w:sz="4" w:space="0" w:color="auto"/>
            </w:tcBorders>
            <w:vAlign w:val="center"/>
          </w:tcPr>
          <w:p w14:paraId="50D83040" w14:textId="77777777" w:rsidR="00765F28" w:rsidRDefault="00765F28" w:rsidP="00765F28">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BFE412"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D</w:t>
            </w:r>
          </w:p>
        </w:tc>
      </w:tr>
      <w:tr w:rsidR="00765F28" w:rsidRPr="00D508B3" w14:paraId="61D25595"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2EC0E" w14:textId="489095EE"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4</w:t>
            </w:r>
            <w:r>
              <w:rPr>
                <w:rFonts w:ascii="Times New Roman" w:eastAsia="Times New Roman" w:hAnsi="Times New Roman" w:cs="Times New Roman"/>
                <w:b/>
                <w:bCs/>
                <w:color w:val="000000" w:themeColor="text1"/>
                <w:sz w:val="18"/>
                <w:szCs w:val="18"/>
                <w:lang w:eastAsia="pl-PL"/>
              </w:rPr>
              <w:t>6</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2A66A795"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Analiza luki płynności, struktura bilansu w podziale na waluty, dynamika zmian, </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3F37D872"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C7754AB"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68F81A5B" w14:textId="77777777" w:rsidR="00765F28" w:rsidRDefault="00765F28" w:rsidP="00765F28">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1180707"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765F28" w:rsidRPr="00D508B3" w14:paraId="6C791E1F"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A1E40" w14:textId="14712EA5"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4</w:t>
            </w:r>
            <w:r>
              <w:rPr>
                <w:rFonts w:ascii="Times New Roman" w:eastAsia="Times New Roman" w:hAnsi="Times New Roman" w:cs="Times New Roman"/>
                <w:b/>
                <w:bCs/>
                <w:color w:val="000000" w:themeColor="text1"/>
                <w:sz w:val="18"/>
                <w:szCs w:val="18"/>
                <w:lang w:eastAsia="pl-PL"/>
              </w:rPr>
              <w:t>7</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33D77762"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limitów, wskaźników płynności, LCR, wyników Testów warunków skrajnych</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6C0BC749"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AE92FD0"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7EDBEE70" w14:textId="77777777" w:rsidR="00765F28" w:rsidRDefault="00765F28" w:rsidP="00765F28">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74183"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765F28" w:rsidRPr="00D508B3" w14:paraId="537DD3C4"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57BCD" w14:textId="741E0CE2"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48</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4EB6116"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Pogłębiona analiza ryzyka płynności (w tym płynności długoterminowej)</w:t>
            </w:r>
            <w:r>
              <w:rPr>
                <w:rFonts w:ascii="Times New Roman" w:eastAsia="Times New Roman" w:hAnsi="Times New Roman" w:cs="Times New Roman"/>
                <w:bCs/>
                <w:color w:val="000000" w:themeColor="text1"/>
                <w:sz w:val="18"/>
                <w:szCs w:val="18"/>
                <w:lang w:eastAsia="pl-PL"/>
              </w:rPr>
              <w:t>, wpływ pozostałych ryzyk na płynność</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54F834F9"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1152633"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33674207" w14:textId="77777777" w:rsidR="00765F28" w:rsidRDefault="00765F28" w:rsidP="00765F28">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5CD5AB"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765F28" w:rsidRPr="00D508B3" w14:paraId="44F434F8"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1ED75" w14:textId="00F96F36"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49</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1F6F6085"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Plany awaryjne ryzyka płynności, długoterminowy plan pozyskania stabilnych </w:t>
            </w:r>
            <w:r>
              <w:rPr>
                <w:rFonts w:ascii="Times New Roman" w:eastAsia="Times New Roman" w:hAnsi="Times New Roman" w:cs="Times New Roman"/>
                <w:bCs/>
                <w:color w:val="000000" w:themeColor="text1"/>
                <w:sz w:val="18"/>
                <w:szCs w:val="18"/>
                <w:lang w:eastAsia="pl-PL"/>
              </w:rPr>
              <w:t>śro</w:t>
            </w:r>
            <w:r w:rsidRPr="00D508B3">
              <w:rPr>
                <w:rFonts w:ascii="Times New Roman" w:eastAsia="Times New Roman" w:hAnsi="Times New Roman" w:cs="Times New Roman"/>
                <w:bCs/>
                <w:color w:val="000000" w:themeColor="text1"/>
                <w:sz w:val="18"/>
                <w:szCs w:val="18"/>
                <w:lang w:eastAsia="pl-PL"/>
              </w:rPr>
              <w:t>dków finansowania</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ED69EF1"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A9C481C"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38873BBB" w14:textId="77777777" w:rsidR="00765F28" w:rsidRDefault="00765F28" w:rsidP="00765F28">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0B3B71"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765F28" w:rsidRPr="00D508B3" w14:paraId="7A31DC72" w14:textId="77777777" w:rsidTr="00F270E2">
        <w:trPr>
          <w:trHeight w:val="540"/>
        </w:trPr>
        <w:tc>
          <w:tcPr>
            <w:tcW w:w="10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0DC8B" w14:textId="77777777" w:rsidR="00765F28" w:rsidRPr="00F270E2"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p>
          <w:p w14:paraId="2139A128" w14:textId="77777777" w:rsidR="00765F28" w:rsidRPr="00F270E2"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F270E2">
              <w:rPr>
                <w:rFonts w:ascii="Times New Roman" w:eastAsia="Times New Roman" w:hAnsi="Times New Roman" w:cs="Times New Roman"/>
                <w:b/>
                <w:bCs/>
                <w:color w:val="000000" w:themeColor="text1"/>
                <w:sz w:val="18"/>
                <w:szCs w:val="18"/>
                <w:lang w:eastAsia="pl-PL"/>
              </w:rPr>
              <w:t>Ryzyko inwestycji finansowych:</w:t>
            </w:r>
          </w:p>
          <w:p w14:paraId="3AE83B25" w14:textId="77777777" w:rsidR="00765F28" w:rsidRPr="00F270E2" w:rsidRDefault="00765F28" w:rsidP="00765F28">
            <w:pPr>
              <w:spacing w:after="0" w:line="240" w:lineRule="auto"/>
              <w:rPr>
                <w:rFonts w:ascii="Times New Roman" w:eastAsia="Times New Roman" w:hAnsi="Times New Roman" w:cs="Times New Roman"/>
                <w:b/>
                <w:bCs/>
                <w:color w:val="000000" w:themeColor="text1"/>
                <w:sz w:val="18"/>
                <w:szCs w:val="18"/>
                <w:lang w:eastAsia="pl-PL"/>
              </w:rPr>
            </w:pPr>
          </w:p>
        </w:tc>
      </w:tr>
      <w:tr w:rsidR="00765F28" w:rsidRPr="00D508B3" w14:paraId="2A9BB2EA"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2F1BB" w14:textId="44AAC376"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50</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E607790"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Skala zaangażowania Banku w inwestycje finansowe</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65D7A6FA"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D2DB298"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7D2928AA" w14:textId="77777777" w:rsidR="00765F28" w:rsidRDefault="00765F28" w:rsidP="00765F28">
            <w:pPr>
              <w:spacing w:after="0"/>
              <w:jc w:val="center"/>
            </w:pPr>
            <w:r w:rsidRPr="005B74A5">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F09EB7C"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765F28" w:rsidRPr="00D508B3" w14:paraId="2BB5F1C9"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B7DB2" w14:textId="73DE926D"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51</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981E277"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Rentowność zaangażowania w instrumenty finansowe</w:t>
            </w:r>
          </w:p>
        </w:tc>
        <w:tc>
          <w:tcPr>
            <w:tcW w:w="2267" w:type="dxa"/>
            <w:tcBorders>
              <w:top w:val="single" w:sz="4" w:space="0" w:color="000000"/>
              <w:left w:val="nil"/>
              <w:bottom w:val="single" w:sz="4" w:space="0" w:color="000000"/>
              <w:right w:val="single" w:sz="4" w:space="0" w:color="000000"/>
            </w:tcBorders>
            <w:shd w:val="clear" w:color="auto" w:fill="auto"/>
            <w:hideMark/>
          </w:tcPr>
          <w:p w14:paraId="16D9D00A" w14:textId="77777777" w:rsidR="00765F28" w:rsidRDefault="00765F28" w:rsidP="00765F28">
            <w:r w:rsidRPr="00D7296E">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D0EDD2F"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7E482DD6" w14:textId="77777777" w:rsidR="00765F28" w:rsidRDefault="00765F28" w:rsidP="00765F28">
            <w:pPr>
              <w:spacing w:after="0"/>
              <w:jc w:val="center"/>
            </w:pPr>
            <w:r w:rsidRPr="005B74A5">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135BCF"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765F28" w:rsidRPr="00D508B3" w14:paraId="630267C0"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980D6" w14:textId="0877D32C"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52</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DA08342"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Testy warunków skrajnych</w:t>
            </w:r>
            <w:r>
              <w:rPr>
                <w:rFonts w:ascii="Times New Roman" w:eastAsia="Times New Roman" w:hAnsi="Times New Roman" w:cs="Times New Roman"/>
                <w:bCs/>
                <w:color w:val="000000" w:themeColor="text1"/>
                <w:sz w:val="18"/>
                <w:szCs w:val="18"/>
                <w:lang w:eastAsia="pl-PL"/>
              </w:rPr>
              <w:t>, realizacja limitów</w:t>
            </w:r>
          </w:p>
        </w:tc>
        <w:tc>
          <w:tcPr>
            <w:tcW w:w="2267" w:type="dxa"/>
            <w:tcBorders>
              <w:top w:val="single" w:sz="4" w:space="0" w:color="000000"/>
              <w:left w:val="nil"/>
              <w:bottom w:val="single" w:sz="4" w:space="0" w:color="000000"/>
              <w:right w:val="single" w:sz="4" w:space="0" w:color="000000"/>
            </w:tcBorders>
            <w:shd w:val="clear" w:color="auto" w:fill="auto"/>
            <w:hideMark/>
          </w:tcPr>
          <w:p w14:paraId="21D85C03" w14:textId="77777777" w:rsidR="00765F28" w:rsidRDefault="00765F28" w:rsidP="00765F28">
            <w:r w:rsidRPr="00D7296E">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44E9B30"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56A42779" w14:textId="77777777" w:rsidR="00765F28" w:rsidRDefault="00765F28" w:rsidP="00765F28">
            <w:pPr>
              <w:spacing w:after="0"/>
              <w:jc w:val="center"/>
            </w:pPr>
            <w:r w:rsidRPr="005B74A5">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28B3F25"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765F28" w:rsidRPr="00D508B3" w14:paraId="45ED7257"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30D95" w14:textId="58C2432B"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53</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33D0F5C"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wpływu inwestycji na pozostałe ryzyka bankowe i poziom adekwatności kapitałowej</w:t>
            </w:r>
          </w:p>
        </w:tc>
        <w:tc>
          <w:tcPr>
            <w:tcW w:w="2267" w:type="dxa"/>
            <w:tcBorders>
              <w:top w:val="single" w:sz="4" w:space="0" w:color="000000"/>
              <w:left w:val="nil"/>
              <w:bottom w:val="single" w:sz="4" w:space="0" w:color="000000"/>
              <w:right w:val="single" w:sz="4" w:space="0" w:color="000000"/>
            </w:tcBorders>
            <w:shd w:val="clear" w:color="auto" w:fill="auto"/>
            <w:hideMark/>
          </w:tcPr>
          <w:p w14:paraId="5882E435" w14:textId="77777777" w:rsidR="00765F28" w:rsidRDefault="00765F28" w:rsidP="00765F28">
            <w:r w:rsidRPr="00D7296E">
              <w:rPr>
                <w:rFonts w:ascii="Times New Roman" w:eastAsia="Times New Roman" w:hAnsi="Times New Roman" w:cs="Times New Roman"/>
                <w:b/>
                <w:bCs/>
                <w:color w:val="000000" w:themeColor="text1"/>
                <w:sz w:val="18"/>
                <w:szCs w:val="18"/>
                <w:lang w:eastAsia="pl-PL"/>
              </w:rPr>
              <w:t>Stanowisko monitoringu 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079B068"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47714685" w14:textId="77777777" w:rsidR="00765F28" w:rsidRDefault="00765F28" w:rsidP="00765F28">
            <w:pPr>
              <w:spacing w:after="0"/>
              <w:jc w:val="center"/>
            </w:pPr>
            <w:r w:rsidRPr="005B74A5">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FAB33C2"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765F28" w:rsidRPr="00D508B3" w14:paraId="150A1B08" w14:textId="77777777" w:rsidTr="002A062D">
        <w:trPr>
          <w:trHeight w:val="457"/>
        </w:trPr>
        <w:tc>
          <w:tcPr>
            <w:tcW w:w="10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85DC7" w14:textId="77777777" w:rsidR="00765F28" w:rsidRPr="002A062D"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2A062D">
              <w:rPr>
                <w:rFonts w:ascii="Times New Roman" w:eastAsia="Times New Roman" w:hAnsi="Times New Roman" w:cs="Times New Roman"/>
                <w:b/>
                <w:bCs/>
                <w:color w:val="000000" w:themeColor="text1"/>
                <w:sz w:val="18"/>
                <w:szCs w:val="18"/>
                <w:lang w:eastAsia="pl-PL"/>
              </w:rPr>
              <w:t> </w:t>
            </w:r>
          </w:p>
          <w:p w14:paraId="104283E5" w14:textId="77777777" w:rsidR="00765F28" w:rsidRPr="002A062D"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2A062D">
              <w:rPr>
                <w:rFonts w:ascii="Times New Roman" w:eastAsia="Times New Roman" w:hAnsi="Times New Roman" w:cs="Times New Roman"/>
                <w:b/>
                <w:bCs/>
                <w:color w:val="000000" w:themeColor="text1"/>
                <w:sz w:val="18"/>
                <w:szCs w:val="18"/>
                <w:lang w:eastAsia="pl-PL"/>
              </w:rPr>
              <w:t>Ryzyko walutowe /rynkowe/</w:t>
            </w:r>
          </w:p>
          <w:p w14:paraId="62CAB18B" w14:textId="77777777" w:rsidR="00765F28" w:rsidRPr="002A062D" w:rsidRDefault="00765F28" w:rsidP="00765F28">
            <w:pPr>
              <w:spacing w:after="0" w:line="240" w:lineRule="auto"/>
              <w:jc w:val="right"/>
              <w:rPr>
                <w:rFonts w:ascii="Times New Roman" w:eastAsia="Times New Roman" w:hAnsi="Times New Roman" w:cs="Times New Roman"/>
                <w:b/>
                <w:bCs/>
                <w:color w:val="000000" w:themeColor="text1"/>
                <w:sz w:val="18"/>
                <w:szCs w:val="18"/>
                <w:lang w:eastAsia="pl-PL"/>
              </w:rPr>
            </w:pPr>
            <w:r w:rsidRPr="002A062D">
              <w:rPr>
                <w:rFonts w:ascii="Times New Roman" w:eastAsia="Times New Roman" w:hAnsi="Times New Roman" w:cs="Times New Roman"/>
                <w:b/>
                <w:bCs/>
                <w:color w:val="000000" w:themeColor="text1"/>
                <w:sz w:val="18"/>
                <w:szCs w:val="18"/>
                <w:lang w:eastAsia="pl-PL"/>
              </w:rPr>
              <w:t> </w:t>
            </w:r>
          </w:p>
        </w:tc>
      </w:tr>
      <w:tr w:rsidR="00765F28" w:rsidRPr="00D508B3" w14:paraId="203AEFE2"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BCD36" w14:textId="667CE355"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5</w:t>
            </w:r>
            <w:r>
              <w:rPr>
                <w:rFonts w:ascii="Times New Roman" w:eastAsia="Times New Roman" w:hAnsi="Times New Roman" w:cs="Times New Roman"/>
                <w:b/>
                <w:bCs/>
                <w:color w:val="000000" w:themeColor="text1"/>
                <w:sz w:val="18"/>
                <w:szCs w:val="18"/>
                <w:lang w:eastAsia="pl-PL"/>
              </w:rPr>
              <w:t>4</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22BC5926"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Codzienna analiza limitów pozycji walutowych Bieżacy monitoring zgod.z § 23 Instrukcji</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2EB4DA0D"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B1DF6FE"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7799590B" w14:textId="77777777" w:rsidR="00765F28" w:rsidRDefault="00765F28" w:rsidP="00765F28">
            <w:pPr>
              <w:jc w:val="center"/>
            </w:pPr>
            <w:r w:rsidRPr="004020F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9F50E"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D</w:t>
            </w:r>
          </w:p>
        </w:tc>
      </w:tr>
      <w:tr w:rsidR="00765F28" w:rsidRPr="00D508B3" w14:paraId="348722C3"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163C2" w14:textId="4A0C4A1E"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55</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62CB4DD"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i weryfikacja ryzyka walutowego zgodnie.z §22 Instrukcji</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7C233C47"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ECC6042"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 xml:space="preserve"> </w:t>
            </w: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3195B68B" w14:textId="77777777" w:rsidR="00765F28" w:rsidRDefault="00765F28" w:rsidP="00765F28">
            <w:pPr>
              <w:spacing w:after="0"/>
              <w:jc w:val="center"/>
            </w:pPr>
            <w:r w:rsidRPr="004020F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88C1FE"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   M</w:t>
            </w:r>
          </w:p>
        </w:tc>
      </w:tr>
      <w:tr w:rsidR="00765F28" w:rsidRPr="00D508B3" w14:paraId="173B2D4D" w14:textId="77777777" w:rsidTr="003E5E28">
        <w:trPr>
          <w:trHeight w:val="765"/>
        </w:trPr>
        <w:tc>
          <w:tcPr>
            <w:tcW w:w="102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657C" w14:textId="77777777" w:rsidR="00765F28" w:rsidRPr="002A062D"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2A062D">
              <w:rPr>
                <w:rFonts w:ascii="Times New Roman" w:eastAsia="Times New Roman" w:hAnsi="Times New Roman" w:cs="Times New Roman"/>
                <w:b/>
                <w:bCs/>
                <w:color w:val="000000" w:themeColor="text1"/>
                <w:sz w:val="18"/>
                <w:szCs w:val="18"/>
                <w:lang w:eastAsia="pl-PL"/>
              </w:rPr>
              <w:t>Bancassurance</w:t>
            </w:r>
          </w:p>
        </w:tc>
      </w:tr>
      <w:tr w:rsidR="00765F28" w:rsidRPr="00D508B3" w14:paraId="4916C143"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5A1FD" w14:textId="6F163E9B"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lastRenderedPageBreak/>
              <w:t>5</w:t>
            </w:r>
            <w:r>
              <w:rPr>
                <w:rFonts w:ascii="Times New Roman" w:eastAsia="Times New Roman" w:hAnsi="Times New Roman" w:cs="Times New Roman"/>
                <w:b/>
                <w:bCs/>
                <w:color w:val="000000" w:themeColor="text1"/>
                <w:sz w:val="18"/>
                <w:szCs w:val="18"/>
                <w:lang w:eastAsia="pl-PL"/>
              </w:rPr>
              <w:t>6</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E643789"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realizacji Polityki rachunkowości w zakresie bancassurance</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35B34754"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Główny Księgowy</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9C44313"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394DF669" w14:textId="77777777" w:rsidR="00765F28" w:rsidRDefault="00765F28" w:rsidP="00765F28">
            <w:pPr>
              <w:spacing w:after="0"/>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EF2F10F"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765F28" w:rsidRPr="00D508B3" w14:paraId="5E3C93F2"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10813" w14:textId="3D58FC64"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57</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079F877D"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Informacje dotyczące obowiązujących procedur i standardów obsługi sprzedażowej i posprzedażowej klienta oraz zasad monitorowania ich przestrzegania.</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0E1D7DEF"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Członek Zarządu ds.. Handlowych</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C750428"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502D2D33" w14:textId="77777777" w:rsidR="00765F28" w:rsidRDefault="00765F28" w:rsidP="00765F28">
            <w:pPr>
              <w:spacing w:after="0"/>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02BDFFB"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765F28" w:rsidRPr="00D508B3" w14:paraId="25D28173"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49D2E" w14:textId="7514D1DA"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58</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2D0EC7A0"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Realizacja Polityki w zakresie zarządzania ryzykiem bancassurance</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2B0D1DC4"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Członek Zarządu ds. Handlowych</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13BBD79"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nil"/>
              <w:bottom w:val="single" w:sz="4" w:space="0" w:color="000000"/>
              <w:right w:val="single" w:sz="4" w:space="0" w:color="auto"/>
            </w:tcBorders>
            <w:vAlign w:val="center"/>
          </w:tcPr>
          <w:p w14:paraId="5BE0998E" w14:textId="77777777" w:rsidR="00765F28" w:rsidRDefault="00765F28" w:rsidP="00765F28">
            <w:pPr>
              <w:spacing w:after="0"/>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6FCB2E"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765F28" w:rsidRPr="00D508B3" w14:paraId="03A21CFA"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D52C" w14:textId="7D1EEE59"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59</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24ABBE5"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wpływu bancassurance na ryzyko Banku, w tym ryzyko kredytowe</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481721E6"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Stanowisko monitoringu </w:t>
            </w:r>
            <w:r>
              <w:rPr>
                <w:rFonts w:ascii="Times New Roman" w:eastAsia="Times New Roman" w:hAnsi="Times New Roman" w:cs="Times New Roman"/>
                <w:b/>
                <w:bCs/>
                <w:color w:val="000000" w:themeColor="text1"/>
                <w:sz w:val="18"/>
                <w:szCs w:val="18"/>
                <w:lang w:eastAsia="pl-PL"/>
              </w:rPr>
              <w:t>weryfikacji i sprawozdawczości ryzyka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3A7C4900"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4D0953AD" w14:textId="77777777" w:rsidR="00765F28" w:rsidRDefault="00765F28" w:rsidP="00765F28">
            <w:pPr>
              <w:spacing w:after="0"/>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9DBE30B"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765F28" w:rsidRPr="00D508B3" w14:paraId="7A5ECB56"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E5F95" w14:textId="7F1CB09E"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60</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5CE5E33E"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Wyniki monitorowania liczby decyzji odmownych zakładu ubezpieczeń co do wypłat świadczeń oraz analiza uzasadnienia tych decyzji.</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7A4BB522"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Stanowisko wierzytelności trudnych</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570E3F8"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16E67C6F" w14:textId="77777777" w:rsidR="00765F28" w:rsidRDefault="00765F28" w:rsidP="00765F28">
            <w:pPr>
              <w:spacing w:after="0"/>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4071E9"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765F28" w:rsidRPr="00D508B3" w14:paraId="35573CF6" w14:textId="77777777" w:rsidTr="003311CB">
        <w:trPr>
          <w:trHeight w:val="765"/>
        </w:trPr>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B9E53" w14:textId="33789BD4"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61</w:t>
            </w:r>
          </w:p>
        </w:tc>
        <w:tc>
          <w:tcPr>
            <w:tcW w:w="3865" w:type="dxa"/>
            <w:tcBorders>
              <w:top w:val="single" w:sz="4" w:space="0" w:color="000000"/>
              <w:left w:val="nil"/>
              <w:bottom w:val="single" w:sz="4" w:space="0" w:color="000000"/>
              <w:right w:val="single" w:sz="4" w:space="0" w:color="000000"/>
            </w:tcBorders>
            <w:shd w:val="clear" w:color="auto" w:fill="auto"/>
            <w:vAlign w:val="center"/>
            <w:hideMark/>
          </w:tcPr>
          <w:p w14:paraId="4FE5A833" w14:textId="77777777" w:rsidR="00765F28" w:rsidRPr="00D508B3" w:rsidRDefault="00765F28" w:rsidP="00765F28">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efektywności działalności Banku w zakresie ubezpieczeń.</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14:paraId="38728265"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Członek Zarządu ds. Handlowych</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C013CAD"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nil"/>
              <w:bottom w:val="single" w:sz="4" w:space="0" w:color="000000"/>
              <w:right w:val="single" w:sz="4" w:space="0" w:color="auto"/>
            </w:tcBorders>
            <w:vAlign w:val="center"/>
          </w:tcPr>
          <w:p w14:paraId="76818678" w14:textId="77777777" w:rsidR="00765F28" w:rsidRDefault="00765F28" w:rsidP="00765F28">
            <w:pPr>
              <w:spacing w:after="0"/>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10B0B0" w14:textId="77777777" w:rsidR="00765F28" w:rsidRPr="00D508B3" w:rsidRDefault="00765F28" w:rsidP="00765F28">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bl>
    <w:p w14:paraId="6ECA67DB" w14:textId="77777777" w:rsidR="009B6591" w:rsidRDefault="009B6591" w:rsidP="009B6591">
      <w:pPr>
        <w:pStyle w:val="Akapitzlist"/>
        <w:ind w:left="0"/>
        <w:jc w:val="both"/>
        <w:rPr>
          <w:rFonts w:ascii="Times New Roman" w:hAnsi="Times New Roman" w:cs="Times New Roman"/>
          <w:b/>
        </w:rPr>
      </w:pPr>
    </w:p>
    <w:p w14:paraId="65FF2921" w14:textId="77777777" w:rsidR="005E7617" w:rsidRDefault="005E7617" w:rsidP="009B6591">
      <w:pPr>
        <w:pStyle w:val="Akapitzlist"/>
        <w:ind w:left="0"/>
        <w:jc w:val="both"/>
        <w:rPr>
          <w:rFonts w:ascii="Times New Roman" w:hAnsi="Times New Roman" w:cs="Times New Roman"/>
          <w:b/>
        </w:rPr>
      </w:pPr>
    </w:p>
    <w:p w14:paraId="08D9B879" w14:textId="77777777" w:rsidR="00842B82" w:rsidRDefault="00AA788D" w:rsidP="009A6274">
      <w:pPr>
        <w:pStyle w:val="Akapitzlist"/>
        <w:numPr>
          <w:ilvl w:val="0"/>
          <w:numId w:val="21"/>
        </w:numPr>
        <w:rPr>
          <w:rFonts w:ascii="Times New Roman" w:hAnsi="Times New Roman" w:cs="Times New Roman"/>
          <w:b/>
        </w:rPr>
      </w:pPr>
      <w:r w:rsidRPr="00AD7AF8">
        <w:rPr>
          <w:rFonts w:ascii="Times New Roman" w:hAnsi="Times New Roman" w:cs="Times New Roman"/>
          <w:b/>
        </w:rPr>
        <w:t xml:space="preserve"> FUNDUSZE WŁASNE</w:t>
      </w:r>
    </w:p>
    <w:p w14:paraId="2386B980" w14:textId="77777777" w:rsidR="00083F7C" w:rsidRPr="00AD7AF8" w:rsidRDefault="00083F7C" w:rsidP="00AD7AF8">
      <w:pPr>
        <w:pStyle w:val="Akapitzlist"/>
        <w:ind w:left="0"/>
        <w:jc w:val="center"/>
        <w:rPr>
          <w:rFonts w:ascii="Times New Roman" w:hAnsi="Times New Roman" w:cs="Times New Roman"/>
          <w:b/>
        </w:rPr>
      </w:pPr>
    </w:p>
    <w:p w14:paraId="0287182E" w14:textId="754D80D8" w:rsidR="0061571F" w:rsidRDefault="0061571F" w:rsidP="0061571F">
      <w:pPr>
        <w:pStyle w:val="Akapitzlist"/>
        <w:ind w:left="0"/>
        <w:jc w:val="both"/>
        <w:rPr>
          <w:rFonts w:ascii="Times New Roman" w:hAnsi="Times New Roman" w:cs="Times New Roman"/>
        </w:rPr>
      </w:pPr>
      <w:r w:rsidRPr="005E7617">
        <w:rPr>
          <w:rFonts w:ascii="Times New Roman" w:hAnsi="Times New Roman" w:cs="Times New Roman"/>
        </w:rPr>
        <w:t>Na dzień 31 grudzień 201</w:t>
      </w:r>
      <w:r w:rsidR="00512C2F">
        <w:rPr>
          <w:rFonts w:ascii="Times New Roman" w:hAnsi="Times New Roman" w:cs="Times New Roman"/>
        </w:rPr>
        <w:t>9</w:t>
      </w:r>
      <w:r w:rsidRPr="005E7617">
        <w:rPr>
          <w:rFonts w:ascii="Times New Roman" w:hAnsi="Times New Roman" w:cs="Times New Roman"/>
        </w:rPr>
        <w:t xml:space="preserve"> roku fundusze własne </w:t>
      </w:r>
      <w:r w:rsidR="005F09AD">
        <w:rPr>
          <w:rFonts w:ascii="Times New Roman" w:hAnsi="Times New Roman" w:cs="Times New Roman"/>
        </w:rPr>
        <w:t xml:space="preserve">w tyś zł </w:t>
      </w:r>
      <w:r w:rsidRPr="005E7617">
        <w:rPr>
          <w:rFonts w:ascii="Times New Roman" w:hAnsi="Times New Roman" w:cs="Times New Roman"/>
        </w:rPr>
        <w:t>Banku Spółdzielczego w Podegrodziu przedstawiały się następująco:</w:t>
      </w:r>
    </w:p>
    <w:tbl>
      <w:tblPr>
        <w:tblW w:w="8784" w:type="dxa"/>
        <w:tblInd w:w="75" w:type="dxa"/>
        <w:tblCellMar>
          <w:left w:w="70" w:type="dxa"/>
          <w:right w:w="70" w:type="dxa"/>
        </w:tblCellMar>
        <w:tblLook w:val="04A0" w:firstRow="1" w:lastRow="0" w:firstColumn="1" w:lastColumn="0" w:noHBand="0" w:noVBand="1"/>
      </w:tblPr>
      <w:tblGrid>
        <w:gridCol w:w="3539"/>
        <w:gridCol w:w="2693"/>
        <w:gridCol w:w="2552"/>
      </w:tblGrid>
      <w:tr w:rsidR="00D07DA3" w:rsidRPr="00D07DA3" w14:paraId="449C9513" w14:textId="77777777" w:rsidTr="000F3F7A">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CCFFCC"/>
            <w:vAlign w:val="center"/>
            <w:hideMark/>
          </w:tcPr>
          <w:p w14:paraId="13B7446D" w14:textId="77777777" w:rsidR="00D07DA3" w:rsidRPr="00D07DA3" w:rsidRDefault="00D07DA3" w:rsidP="00D07DA3">
            <w:pPr>
              <w:spacing w:after="0" w:line="240" w:lineRule="auto"/>
              <w:jc w:val="center"/>
              <w:rPr>
                <w:rFonts w:ascii="Times New Roman" w:eastAsia="Times New Roman" w:hAnsi="Times New Roman" w:cs="Times New Roman"/>
                <w:b/>
                <w:bCs/>
                <w:color w:val="000000"/>
                <w:sz w:val="20"/>
                <w:szCs w:val="20"/>
                <w:lang w:eastAsia="pl-PL"/>
              </w:rPr>
            </w:pPr>
            <w:r w:rsidRPr="00D07DA3">
              <w:rPr>
                <w:rFonts w:ascii="Times New Roman" w:eastAsia="Times New Roman" w:hAnsi="Times New Roman" w:cs="Times New Roman"/>
                <w:b/>
                <w:bCs/>
                <w:color w:val="000000"/>
                <w:sz w:val="20"/>
                <w:szCs w:val="20"/>
                <w:lang w:eastAsia="pl-PL"/>
              </w:rPr>
              <w:t xml:space="preserve">Wyszczególnienie: </w:t>
            </w:r>
          </w:p>
        </w:tc>
        <w:tc>
          <w:tcPr>
            <w:tcW w:w="2693" w:type="dxa"/>
            <w:tcBorders>
              <w:top w:val="single" w:sz="4" w:space="0" w:color="auto"/>
              <w:left w:val="nil"/>
              <w:bottom w:val="single" w:sz="4" w:space="0" w:color="auto"/>
              <w:right w:val="single" w:sz="4" w:space="0" w:color="000000"/>
            </w:tcBorders>
            <w:shd w:val="clear" w:color="000000" w:fill="CCFFCC"/>
            <w:vAlign w:val="center"/>
            <w:hideMark/>
          </w:tcPr>
          <w:p w14:paraId="78C8C76A" w14:textId="120ED874" w:rsidR="00D07DA3" w:rsidRPr="00D07DA3" w:rsidRDefault="00D07DA3" w:rsidP="00512C2F">
            <w:pPr>
              <w:spacing w:after="0" w:line="240" w:lineRule="auto"/>
              <w:jc w:val="center"/>
              <w:rPr>
                <w:rFonts w:ascii="Times New Roman" w:eastAsia="Times New Roman" w:hAnsi="Times New Roman" w:cs="Times New Roman"/>
                <w:b/>
                <w:bCs/>
                <w:color w:val="000000"/>
                <w:sz w:val="20"/>
                <w:szCs w:val="20"/>
                <w:lang w:eastAsia="pl-PL"/>
              </w:rPr>
            </w:pPr>
            <w:r w:rsidRPr="00D07DA3">
              <w:rPr>
                <w:rFonts w:ascii="Times New Roman" w:eastAsia="Times New Roman" w:hAnsi="Times New Roman" w:cs="Times New Roman"/>
                <w:b/>
                <w:bCs/>
                <w:color w:val="000000"/>
                <w:sz w:val="20"/>
                <w:szCs w:val="20"/>
                <w:lang w:eastAsia="pl-PL"/>
              </w:rPr>
              <w:t xml:space="preserve"> Wartość na 31.12.201</w:t>
            </w:r>
            <w:r w:rsidR="00512C2F">
              <w:rPr>
                <w:rFonts w:ascii="Times New Roman" w:eastAsia="Times New Roman" w:hAnsi="Times New Roman" w:cs="Times New Roman"/>
                <w:b/>
                <w:bCs/>
                <w:color w:val="000000"/>
                <w:sz w:val="20"/>
                <w:szCs w:val="20"/>
                <w:lang w:eastAsia="pl-PL"/>
              </w:rPr>
              <w:t>9</w:t>
            </w:r>
            <w:r w:rsidRPr="00D07DA3">
              <w:rPr>
                <w:rFonts w:ascii="Times New Roman" w:eastAsia="Times New Roman" w:hAnsi="Times New Roman" w:cs="Times New Roman"/>
                <w:b/>
                <w:bCs/>
                <w:color w:val="000000"/>
                <w:sz w:val="20"/>
                <w:szCs w:val="20"/>
                <w:lang w:eastAsia="pl-PL"/>
              </w:rPr>
              <w:t xml:space="preserve"> r.: </w:t>
            </w:r>
          </w:p>
        </w:tc>
        <w:tc>
          <w:tcPr>
            <w:tcW w:w="2552" w:type="dxa"/>
            <w:tcBorders>
              <w:top w:val="single" w:sz="4" w:space="0" w:color="auto"/>
              <w:left w:val="nil"/>
              <w:bottom w:val="single" w:sz="4" w:space="0" w:color="auto"/>
              <w:right w:val="single" w:sz="4" w:space="0" w:color="000000"/>
            </w:tcBorders>
            <w:shd w:val="clear" w:color="000000" w:fill="CCFFCC"/>
            <w:vAlign w:val="center"/>
            <w:hideMark/>
          </w:tcPr>
          <w:p w14:paraId="499718BB" w14:textId="77777777" w:rsidR="00D07DA3" w:rsidRPr="00D07DA3" w:rsidRDefault="00D07DA3" w:rsidP="00D07DA3">
            <w:pPr>
              <w:spacing w:after="0" w:line="240" w:lineRule="auto"/>
              <w:jc w:val="center"/>
              <w:rPr>
                <w:rFonts w:ascii="Times New Roman" w:eastAsia="Times New Roman" w:hAnsi="Times New Roman" w:cs="Times New Roman"/>
                <w:b/>
                <w:bCs/>
                <w:color w:val="000000"/>
                <w:sz w:val="20"/>
                <w:szCs w:val="20"/>
                <w:lang w:eastAsia="pl-PL"/>
              </w:rPr>
            </w:pPr>
            <w:r w:rsidRPr="00D07DA3">
              <w:rPr>
                <w:rFonts w:ascii="Times New Roman" w:eastAsia="Times New Roman" w:hAnsi="Times New Roman" w:cs="Times New Roman"/>
                <w:b/>
                <w:bCs/>
                <w:color w:val="000000"/>
                <w:sz w:val="20"/>
                <w:szCs w:val="20"/>
                <w:lang w:eastAsia="pl-PL"/>
              </w:rPr>
              <w:t xml:space="preserve"> Wartość na 31.12.2018 r.: </w:t>
            </w:r>
          </w:p>
        </w:tc>
      </w:tr>
      <w:tr w:rsidR="00D07DA3" w:rsidRPr="00D07DA3" w14:paraId="225E9811" w14:textId="77777777" w:rsidTr="000F3F7A">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0FDD42" w14:textId="77777777" w:rsidR="00D07DA3" w:rsidRPr="00D07DA3" w:rsidRDefault="00D07DA3" w:rsidP="00D07DA3">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Fundusze własne, w tym: </w:t>
            </w:r>
          </w:p>
        </w:tc>
        <w:tc>
          <w:tcPr>
            <w:tcW w:w="2693" w:type="dxa"/>
            <w:tcBorders>
              <w:top w:val="single" w:sz="4" w:space="0" w:color="auto"/>
              <w:left w:val="nil"/>
              <w:bottom w:val="single" w:sz="4" w:space="0" w:color="auto"/>
              <w:right w:val="single" w:sz="4" w:space="0" w:color="000000"/>
            </w:tcBorders>
            <w:shd w:val="clear" w:color="000000" w:fill="F2F2F2"/>
            <w:vAlign w:val="center"/>
            <w:hideMark/>
          </w:tcPr>
          <w:p w14:paraId="69A80145" w14:textId="236D28A2" w:rsidR="00D07DA3" w:rsidRPr="00D07DA3" w:rsidRDefault="00512C2F" w:rsidP="005F09AD">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5 434</w:t>
            </w:r>
          </w:p>
        </w:tc>
        <w:tc>
          <w:tcPr>
            <w:tcW w:w="2552" w:type="dxa"/>
            <w:tcBorders>
              <w:top w:val="single" w:sz="4" w:space="0" w:color="auto"/>
              <w:left w:val="nil"/>
              <w:bottom w:val="single" w:sz="4" w:space="0" w:color="auto"/>
              <w:right w:val="single" w:sz="4" w:space="0" w:color="000000"/>
            </w:tcBorders>
            <w:shd w:val="clear" w:color="000000" w:fill="F2F2F2"/>
            <w:vAlign w:val="center"/>
            <w:hideMark/>
          </w:tcPr>
          <w:p w14:paraId="6D459B2A" w14:textId="34819AF2"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8 42</w:t>
            </w:r>
            <w:r w:rsidR="003710BA">
              <w:rPr>
                <w:rFonts w:ascii="Times New Roman" w:eastAsia="Times New Roman" w:hAnsi="Times New Roman" w:cs="Times New Roman"/>
                <w:color w:val="000000"/>
                <w:sz w:val="20"/>
                <w:szCs w:val="20"/>
                <w:lang w:eastAsia="pl-PL"/>
              </w:rPr>
              <w:t>9</w:t>
            </w:r>
          </w:p>
        </w:tc>
      </w:tr>
      <w:tr w:rsidR="005F09AD" w:rsidRPr="00D07DA3" w14:paraId="08A74782" w14:textId="77777777" w:rsidTr="00140307">
        <w:trPr>
          <w:trHeight w:val="263"/>
        </w:trPr>
        <w:tc>
          <w:tcPr>
            <w:tcW w:w="3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C76C1" w14:textId="77777777"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Kapitał Tier I, w tym </w:t>
            </w:r>
          </w:p>
        </w:tc>
        <w:tc>
          <w:tcPr>
            <w:tcW w:w="2693" w:type="dxa"/>
            <w:tcBorders>
              <w:top w:val="single" w:sz="4" w:space="0" w:color="auto"/>
              <w:left w:val="nil"/>
              <w:bottom w:val="single" w:sz="4" w:space="0" w:color="auto"/>
              <w:right w:val="single" w:sz="4" w:space="0" w:color="000000"/>
            </w:tcBorders>
            <w:shd w:val="clear" w:color="000000" w:fill="F2F2F2"/>
            <w:hideMark/>
          </w:tcPr>
          <w:p w14:paraId="6D6494E4" w14:textId="6B220EB4"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60435E">
              <w:rPr>
                <w:rFonts w:ascii="Times New Roman" w:eastAsia="Times New Roman" w:hAnsi="Times New Roman" w:cs="Times New Roman"/>
                <w:color w:val="000000"/>
                <w:sz w:val="20"/>
                <w:szCs w:val="20"/>
                <w:lang w:eastAsia="pl-PL"/>
              </w:rPr>
              <w:t>5 434</w:t>
            </w:r>
          </w:p>
        </w:tc>
        <w:tc>
          <w:tcPr>
            <w:tcW w:w="2552" w:type="dxa"/>
            <w:tcBorders>
              <w:top w:val="single" w:sz="4" w:space="0" w:color="auto"/>
              <w:left w:val="nil"/>
              <w:bottom w:val="single" w:sz="4" w:space="0" w:color="auto"/>
              <w:right w:val="single" w:sz="4" w:space="0" w:color="000000"/>
            </w:tcBorders>
            <w:shd w:val="clear" w:color="000000" w:fill="F2F2F2"/>
            <w:vAlign w:val="center"/>
            <w:hideMark/>
          </w:tcPr>
          <w:p w14:paraId="46B0D34F" w14:textId="17599DF1"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8 18</w:t>
            </w:r>
            <w:r>
              <w:rPr>
                <w:rFonts w:ascii="Times New Roman" w:eastAsia="Times New Roman" w:hAnsi="Times New Roman" w:cs="Times New Roman"/>
                <w:color w:val="000000"/>
                <w:sz w:val="20"/>
                <w:szCs w:val="20"/>
                <w:lang w:eastAsia="pl-PL"/>
              </w:rPr>
              <w:t>9</w:t>
            </w:r>
          </w:p>
        </w:tc>
      </w:tr>
      <w:tr w:rsidR="005F09AD" w:rsidRPr="00D07DA3" w14:paraId="20F7438D" w14:textId="77777777" w:rsidTr="00140307">
        <w:trPr>
          <w:trHeight w:val="263"/>
        </w:trPr>
        <w:tc>
          <w:tcPr>
            <w:tcW w:w="3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EF67C" w14:textId="77777777"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Kapitał podstawowy Tier I </w:t>
            </w:r>
          </w:p>
        </w:tc>
        <w:tc>
          <w:tcPr>
            <w:tcW w:w="2693" w:type="dxa"/>
            <w:tcBorders>
              <w:top w:val="single" w:sz="4" w:space="0" w:color="auto"/>
              <w:left w:val="nil"/>
              <w:bottom w:val="single" w:sz="4" w:space="0" w:color="auto"/>
              <w:right w:val="single" w:sz="4" w:space="0" w:color="000000"/>
            </w:tcBorders>
            <w:shd w:val="clear" w:color="000000" w:fill="BFBFBF"/>
            <w:hideMark/>
          </w:tcPr>
          <w:p w14:paraId="7FF2A59F" w14:textId="640CEF87"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60435E">
              <w:rPr>
                <w:rFonts w:ascii="Times New Roman" w:eastAsia="Times New Roman" w:hAnsi="Times New Roman" w:cs="Times New Roman"/>
                <w:color w:val="000000"/>
                <w:sz w:val="20"/>
                <w:szCs w:val="20"/>
                <w:lang w:eastAsia="pl-PL"/>
              </w:rPr>
              <w:t>5 434</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1AC8B5E8" w14:textId="500C9DFD"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8 18</w:t>
            </w:r>
            <w:r>
              <w:rPr>
                <w:rFonts w:ascii="Times New Roman" w:eastAsia="Times New Roman" w:hAnsi="Times New Roman" w:cs="Times New Roman"/>
                <w:color w:val="000000"/>
                <w:sz w:val="20"/>
                <w:szCs w:val="20"/>
                <w:lang w:eastAsia="pl-PL"/>
              </w:rPr>
              <w:t>9</w:t>
            </w:r>
          </w:p>
        </w:tc>
      </w:tr>
      <w:tr w:rsidR="00D07DA3" w:rsidRPr="00D07DA3" w14:paraId="65B8D837" w14:textId="77777777" w:rsidTr="000F3F7A">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E72986" w14:textId="77777777" w:rsidR="00D07DA3" w:rsidRPr="00D07DA3" w:rsidRDefault="00D07DA3" w:rsidP="00D07DA3">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Kapitał dodatkowy Tier I </w:t>
            </w:r>
          </w:p>
        </w:tc>
        <w:tc>
          <w:tcPr>
            <w:tcW w:w="2693" w:type="dxa"/>
            <w:tcBorders>
              <w:top w:val="single" w:sz="4" w:space="0" w:color="auto"/>
              <w:left w:val="nil"/>
              <w:bottom w:val="single" w:sz="4" w:space="0" w:color="auto"/>
              <w:right w:val="single" w:sz="4" w:space="0" w:color="000000"/>
            </w:tcBorders>
            <w:shd w:val="clear" w:color="000000" w:fill="BFBFBF"/>
            <w:vAlign w:val="center"/>
            <w:hideMark/>
          </w:tcPr>
          <w:p w14:paraId="6730E773" w14:textId="553C9250"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5A2C0496" w14:textId="0FC5F3A3"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p>
        </w:tc>
      </w:tr>
      <w:tr w:rsidR="00D07DA3" w:rsidRPr="00D07DA3" w14:paraId="2F1F4931" w14:textId="77777777" w:rsidTr="000F3F7A">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4B9B21" w14:textId="77777777" w:rsidR="00D07DA3" w:rsidRPr="00D07DA3" w:rsidRDefault="00D07DA3" w:rsidP="00D07DA3">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Kapitał Tier II </w:t>
            </w:r>
          </w:p>
        </w:tc>
        <w:tc>
          <w:tcPr>
            <w:tcW w:w="2693" w:type="dxa"/>
            <w:tcBorders>
              <w:top w:val="single" w:sz="4" w:space="0" w:color="auto"/>
              <w:left w:val="nil"/>
              <w:bottom w:val="single" w:sz="4" w:space="0" w:color="auto"/>
              <w:right w:val="single" w:sz="4" w:space="0" w:color="000000"/>
            </w:tcBorders>
            <w:shd w:val="clear" w:color="000000" w:fill="BFBFBF"/>
            <w:vAlign w:val="center"/>
            <w:hideMark/>
          </w:tcPr>
          <w:p w14:paraId="128B4970" w14:textId="4F5915E9"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048CF853" w14:textId="4FD02E89"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240</w:t>
            </w:r>
          </w:p>
        </w:tc>
      </w:tr>
      <w:tr w:rsidR="00D07DA3" w:rsidRPr="00D07DA3" w14:paraId="362A0A01" w14:textId="77777777" w:rsidTr="000F3F7A">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47A9C0" w14:textId="77777777" w:rsidR="00D07DA3" w:rsidRPr="00D07DA3" w:rsidRDefault="00D07DA3" w:rsidP="00D07DA3">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Łączna kwota ekspozycji na ryzyko, w tym </w:t>
            </w:r>
          </w:p>
        </w:tc>
        <w:tc>
          <w:tcPr>
            <w:tcW w:w="2693" w:type="dxa"/>
            <w:tcBorders>
              <w:top w:val="single" w:sz="4" w:space="0" w:color="auto"/>
              <w:left w:val="nil"/>
              <w:bottom w:val="single" w:sz="4" w:space="0" w:color="auto"/>
              <w:right w:val="single" w:sz="4" w:space="0" w:color="000000"/>
            </w:tcBorders>
            <w:shd w:val="clear" w:color="000000" w:fill="F2F2F2"/>
            <w:vAlign w:val="center"/>
            <w:hideMark/>
          </w:tcPr>
          <w:p w14:paraId="7E48197E" w14:textId="1B28556C" w:rsidR="00D07DA3"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2 762</w:t>
            </w:r>
          </w:p>
        </w:tc>
        <w:tc>
          <w:tcPr>
            <w:tcW w:w="2552" w:type="dxa"/>
            <w:tcBorders>
              <w:top w:val="single" w:sz="4" w:space="0" w:color="auto"/>
              <w:left w:val="nil"/>
              <w:bottom w:val="single" w:sz="4" w:space="0" w:color="auto"/>
              <w:right w:val="single" w:sz="4" w:space="0" w:color="000000"/>
            </w:tcBorders>
            <w:shd w:val="clear" w:color="000000" w:fill="F2F2F2"/>
            <w:vAlign w:val="center"/>
            <w:hideMark/>
          </w:tcPr>
          <w:p w14:paraId="2F06E272" w14:textId="434792A9"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3 203</w:t>
            </w:r>
          </w:p>
        </w:tc>
      </w:tr>
      <w:tr w:rsidR="00D07DA3" w:rsidRPr="00D07DA3" w14:paraId="65476D74" w14:textId="77777777" w:rsidTr="000F3F7A">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CE92FF" w14:textId="77777777" w:rsidR="00D07DA3" w:rsidRPr="00D07DA3" w:rsidRDefault="00D07DA3" w:rsidP="00D07DA3">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z tytułu ryzyka kredytowego: </w:t>
            </w:r>
          </w:p>
        </w:tc>
        <w:tc>
          <w:tcPr>
            <w:tcW w:w="2693" w:type="dxa"/>
            <w:tcBorders>
              <w:top w:val="single" w:sz="4" w:space="0" w:color="auto"/>
              <w:left w:val="nil"/>
              <w:bottom w:val="single" w:sz="4" w:space="0" w:color="auto"/>
              <w:right w:val="single" w:sz="4" w:space="0" w:color="000000"/>
            </w:tcBorders>
            <w:shd w:val="clear" w:color="000000" w:fill="BFBFBF"/>
            <w:vAlign w:val="center"/>
            <w:hideMark/>
          </w:tcPr>
          <w:p w14:paraId="60E9F0D0" w14:textId="3AD18824" w:rsidR="00D07DA3"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2 269</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09C853E7" w14:textId="7E40D36B"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2 72</w:t>
            </w:r>
            <w:r w:rsidR="003710BA">
              <w:rPr>
                <w:rFonts w:ascii="Times New Roman" w:eastAsia="Times New Roman" w:hAnsi="Times New Roman" w:cs="Times New Roman"/>
                <w:color w:val="000000"/>
                <w:sz w:val="20"/>
                <w:szCs w:val="20"/>
                <w:lang w:eastAsia="pl-PL"/>
              </w:rPr>
              <w:t>2</w:t>
            </w:r>
          </w:p>
        </w:tc>
      </w:tr>
      <w:tr w:rsidR="00D07DA3" w:rsidRPr="00D07DA3" w14:paraId="008376AA" w14:textId="77777777" w:rsidTr="000F3F7A">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3EDF40" w14:textId="77777777" w:rsidR="00D07DA3" w:rsidRPr="00D07DA3" w:rsidRDefault="00D07DA3" w:rsidP="00D07DA3">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z tytułu ryzyka walutowego: </w:t>
            </w:r>
          </w:p>
        </w:tc>
        <w:tc>
          <w:tcPr>
            <w:tcW w:w="2693" w:type="dxa"/>
            <w:tcBorders>
              <w:top w:val="single" w:sz="4" w:space="0" w:color="auto"/>
              <w:left w:val="nil"/>
              <w:bottom w:val="single" w:sz="4" w:space="0" w:color="auto"/>
              <w:right w:val="single" w:sz="4" w:space="0" w:color="000000"/>
            </w:tcBorders>
            <w:shd w:val="clear" w:color="000000" w:fill="BFBFBF"/>
            <w:vAlign w:val="center"/>
            <w:hideMark/>
          </w:tcPr>
          <w:p w14:paraId="07074124" w14:textId="2D81DBF2"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3C5ABFF9" w14:textId="409ACBD6"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w:t>
            </w:r>
          </w:p>
        </w:tc>
      </w:tr>
      <w:tr w:rsidR="00D07DA3" w:rsidRPr="00D07DA3" w14:paraId="46FD3F86" w14:textId="77777777" w:rsidTr="000F3F7A">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6BF953" w14:textId="77777777" w:rsidR="00D07DA3" w:rsidRPr="00D07DA3" w:rsidRDefault="00D07DA3" w:rsidP="00D07DA3">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z tytułu ryzyka operacyjnego: </w:t>
            </w:r>
          </w:p>
        </w:tc>
        <w:tc>
          <w:tcPr>
            <w:tcW w:w="2693" w:type="dxa"/>
            <w:tcBorders>
              <w:top w:val="single" w:sz="4" w:space="0" w:color="auto"/>
              <w:left w:val="nil"/>
              <w:bottom w:val="single" w:sz="4" w:space="0" w:color="auto"/>
              <w:right w:val="single" w:sz="4" w:space="0" w:color="000000"/>
            </w:tcBorders>
            <w:shd w:val="clear" w:color="000000" w:fill="BFBFBF"/>
            <w:vAlign w:val="center"/>
            <w:hideMark/>
          </w:tcPr>
          <w:p w14:paraId="1F48CD62" w14:textId="193824E7" w:rsidR="00D07DA3"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494</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46FBDA94" w14:textId="1DE37AE4"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48</w:t>
            </w:r>
            <w:r w:rsidR="003710BA">
              <w:rPr>
                <w:rFonts w:ascii="Times New Roman" w:eastAsia="Times New Roman" w:hAnsi="Times New Roman" w:cs="Times New Roman"/>
                <w:color w:val="000000"/>
                <w:sz w:val="20"/>
                <w:szCs w:val="20"/>
                <w:lang w:eastAsia="pl-PL"/>
              </w:rPr>
              <w:t>2</w:t>
            </w:r>
          </w:p>
        </w:tc>
      </w:tr>
      <w:tr w:rsidR="00D07DA3" w:rsidRPr="00D07DA3" w14:paraId="0BC02965" w14:textId="77777777" w:rsidTr="000F3F7A">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7AD6C3" w14:textId="77777777" w:rsidR="00D07DA3" w:rsidRPr="00D07DA3" w:rsidRDefault="00D07DA3" w:rsidP="00D07DA3">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Łączny współczynnik kapitałowy </w:t>
            </w:r>
          </w:p>
        </w:tc>
        <w:tc>
          <w:tcPr>
            <w:tcW w:w="2693" w:type="dxa"/>
            <w:tcBorders>
              <w:top w:val="single" w:sz="4" w:space="0" w:color="auto"/>
              <w:left w:val="nil"/>
              <w:bottom w:val="single" w:sz="4" w:space="0" w:color="auto"/>
              <w:right w:val="single" w:sz="4" w:space="0" w:color="000000"/>
            </w:tcBorders>
            <w:shd w:val="clear" w:color="000000" w:fill="BFBFBF"/>
            <w:vAlign w:val="center"/>
            <w:hideMark/>
          </w:tcPr>
          <w:p w14:paraId="0F8DE3F0" w14:textId="60667EFF" w:rsidR="00D07DA3"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15,7</w:t>
            </w:r>
            <w:r w:rsidR="00D07DA3" w:rsidRPr="00D07DA3">
              <w:rPr>
                <w:rFonts w:ascii="Times New Roman" w:eastAsia="Times New Roman" w:hAnsi="Times New Roman" w:cs="Times New Roman"/>
                <w:color w:val="000000"/>
                <w:sz w:val="20"/>
                <w:szCs w:val="20"/>
                <w:lang w:eastAsia="pl-PL"/>
              </w:rPr>
              <w:t>3</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516E33A5" w14:textId="6FAD2AED" w:rsidR="00D07DA3" w:rsidRPr="00D07DA3" w:rsidRDefault="00D07DA3"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21,05</w:t>
            </w:r>
          </w:p>
        </w:tc>
      </w:tr>
      <w:tr w:rsidR="005F09AD" w:rsidRPr="00D07DA3" w14:paraId="0C74B0F0" w14:textId="77777777" w:rsidTr="00140307">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00C31C" w14:textId="77777777"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Współczynnik kapitału Tier I </w:t>
            </w:r>
          </w:p>
        </w:tc>
        <w:tc>
          <w:tcPr>
            <w:tcW w:w="2693" w:type="dxa"/>
            <w:tcBorders>
              <w:top w:val="single" w:sz="4" w:space="0" w:color="auto"/>
              <w:left w:val="nil"/>
              <w:bottom w:val="single" w:sz="4" w:space="0" w:color="auto"/>
              <w:right w:val="single" w:sz="4" w:space="0" w:color="000000"/>
            </w:tcBorders>
            <w:shd w:val="clear" w:color="000000" w:fill="BFBFBF"/>
            <w:hideMark/>
          </w:tcPr>
          <w:p w14:paraId="4649E496" w14:textId="6154CB9E"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6F4659">
              <w:rPr>
                <w:rFonts w:ascii="Times New Roman" w:eastAsia="Times New Roman" w:hAnsi="Times New Roman" w:cs="Times New Roman"/>
                <w:color w:val="000000"/>
                <w:sz w:val="20"/>
                <w:szCs w:val="20"/>
                <w:lang w:eastAsia="pl-PL"/>
              </w:rPr>
              <w:t>15,73</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1BD3190C" w14:textId="18ACB1C0" w:rsidR="005F09AD" w:rsidRPr="00D07DA3" w:rsidRDefault="006705A2" w:rsidP="005F09AD">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20,45</w:t>
            </w:r>
          </w:p>
        </w:tc>
      </w:tr>
      <w:tr w:rsidR="005F09AD" w:rsidRPr="00D07DA3" w14:paraId="7EBF66DB" w14:textId="77777777" w:rsidTr="00140307">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B496EA" w14:textId="77777777"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Współczynnik kapitału podstawowego Tier I </w:t>
            </w:r>
          </w:p>
        </w:tc>
        <w:tc>
          <w:tcPr>
            <w:tcW w:w="2693" w:type="dxa"/>
            <w:tcBorders>
              <w:top w:val="single" w:sz="4" w:space="0" w:color="auto"/>
              <w:left w:val="nil"/>
              <w:bottom w:val="single" w:sz="4" w:space="0" w:color="auto"/>
              <w:right w:val="single" w:sz="4" w:space="0" w:color="000000"/>
            </w:tcBorders>
            <w:shd w:val="clear" w:color="000000" w:fill="BFBFBF"/>
            <w:hideMark/>
          </w:tcPr>
          <w:p w14:paraId="720E83E5" w14:textId="4BEF5548"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6F4659">
              <w:rPr>
                <w:rFonts w:ascii="Times New Roman" w:eastAsia="Times New Roman" w:hAnsi="Times New Roman" w:cs="Times New Roman"/>
                <w:color w:val="000000"/>
                <w:sz w:val="20"/>
                <w:szCs w:val="20"/>
                <w:lang w:eastAsia="pl-PL"/>
              </w:rPr>
              <w:t>15,73</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31E6CFD2" w14:textId="4868F8C3" w:rsidR="005F09AD" w:rsidRPr="00D07DA3" w:rsidRDefault="006705A2" w:rsidP="005F09AD">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20,45</w:t>
            </w:r>
          </w:p>
        </w:tc>
      </w:tr>
      <w:tr w:rsidR="005F09AD" w:rsidRPr="00D07DA3" w14:paraId="5C993858" w14:textId="77777777" w:rsidTr="00140307">
        <w:trPr>
          <w:trHeight w:val="263"/>
        </w:trPr>
        <w:tc>
          <w:tcPr>
            <w:tcW w:w="35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D9C8E9" w14:textId="77777777"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Kapitał wewnętrzny </w:t>
            </w:r>
          </w:p>
        </w:tc>
        <w:tc>
          <w:tcPr>
            <w:tcW w:w="2693" w:type="dxa"/>
            <w:tcBorders>
              <w:top w:val="single" w:sz="4" w:space="0" w:color="auto"/>
              <w:left w:val="nil"/>
              <w:bottom w:val="single" w:sz="4" w:space="0" w:color="auto"/>
              <w:right w:val="single" w:sz="4" w:space="0" w:color="000000"/>
            </w:tcBorders>
            <w:shd w:val="clear" w:color="000000" w:fill="BFBFBF"/>
            <w:hideMark/>
          </w:tcPr>
          <w:p w14:paraId="30FD551B" w14:textId="28F9929D"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2 672</w:t>
            </w:r>
          </w:p>
        </w:tc>
        <w:tc>
          <w:tcPr>
            <w:tcW w:w="2552" w:type="dxa"/>
            <w:tcBorders>
              <w:top w:val="single" w:sz="4" w:space="0" w:color="auto"/>
              <w:left w:val="nil"/>
              <w:bottom w:val="single" w:sz="4" w:space="0" w:color="auto"/>
              <w:right w:val="single" w:sz="4" w:space="0" w:color="000000"/>
            </w:tcBorders>
            <w:shd w:val="clear" w:color="000000" w:fill="BFBFBF"/>
            <w:vAlign w:val="center"/>
            <w:hideMark/>
          </w:tcPr>
          <w:p w14:paraId="01B6CB13" w14:textId="4218AA92" w:rsidR="005F09AD" w:rsidRPr="00D07DA3" w:rsidRDefault="005F09AD" w:rsidP="005F09AD">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5 225</w:t>
            </w:r>
          </w:p>
        </w:tc>
      </w:tr>
    </w:tbl>
    <w:p w14:paraId="7D137AC2" w14:textId="77777777" w:rsidR="000F3F7A" w:rsidRDefault="000F3F7A" w:rsidP="0061571F">
      <w:pPr>
        <w:ind w:left="284"/>
        <w:rPr>
          <w:rFonts w:ascii="Times New Roman" w:hAnsi="Times New Roman" w:cs="Times New Roman"/>
          <w:b/>
          <w:sz w:val="24"/>
          <w:u w:val="single"/>
        </w:rPr>
      </w:pPr>
    </w:p>
    <w:p w14:paraId="6F595FCE" w14:textId="7A6FBA29" w:rsidR="0061571F" w:rsidRDefault="0061571F" w:rsidP="0061571F">
      <w:pPr>
        <w:ind w:left="284"/>
        <w:rPr>
          <w:rFonts w:ascii="Times New Roman" w:hAnsi="Times New Roman" w:cs="Times New Roman"/>
          <w:b/>
          <w:sz w:val="24"/>
          <w:u w:val="single"/>
        </w:rPr>
      </w:pPr>
      <w:r w:rsidRPr="00FE2034">
        <w:rPr>
          <w:rFonts w:ascii="Times New Roman" w:hAnsi="Times New Roman" w:cs="Times New Roman"/>
          <w:b/>
          <w:sz w:val="24"/>
          <w:u w:val="single"/>
        </w:rPr>
        <w:t xml:space="preserve">FUNDUSZE WŁASNE PO POMNIEJSZENIACH      </w:t>
      </w:r>
      <w:r w:rsidR="00483A8F">
        <w:rPr>
          <w:rFonts w:ascii="Times New Roman" w:hAnsi="Times New Roman" w:cs="Times New Roman"/>
          <w:b/>
          <w:sz w:val="24"/>
          <w:u w:val="single"/>
        </w:rPr>
        <w:t>5 434</w:t>
      </w:r>
      <w:r w:rsidR="000F3F7A">
        <w:rPr>
          <w:rFonts w:ascii="Times New Roman" w:hAnsi="Times New Roman" w:cs="Times New Roman"/>
          <w:b/>
          <w:sz w:val="24"/>
          <w:u w:val="single"/>
        </w:rPr>
        <w:t xml:space="preserve"> </w:t>
      </w:r>
      <w:r w:rsidR="00483A8F">
        <w:rPr>
          <w:rFonts w:ascii="Times New Roman" w:hAnsi="Times New Roman" w:cs="Times New Roman"/>
          <w:b/>
          <w:sz w:val="24"/>
          <w:u w:val="single"/>
        </w:rPr>
        <w:t xml:space="preserve">tyś </w:t>
      </w:r>
      <w:r w:rsidR="003710BA">
        <w:rPr>
          <w:rFonts w:ascii="Times New Roman" w:hAnsi="Times New Roman" w:cs="Times New Roman"/>
          <w:b/>
          <w:sz w:val="24"/>
          <w:u w:val="single"/>
        </w:rPr>
        <w:t>zł</w:t>
      </w:r>
    </w:p>
    <w:p w14:paraId="464FEC6A" w14:textId="77777777" w:rsidR="00344C11" w:rsidRDefault="006A613A" w:rsidP="009A6274">
      <w:pPr>
        <w:pStyle w:val="Akapitzlist"/>
        <w:numPr>
          <w:ilvl w:val="0"/>
          <w:numId w:val="21"/>
        </w:numPr>
        <w:ind w:left="426"/>
        <w:jc w:val="center"/>
        <w:rPr>
          <w:rFonts w:ascii="Times New Roman" w:hAnsi="Times New Roman" w:cs="Times New Roman"/>
          <w:b/>
        </w:rPr>
      </w:pPr>
      <w:r>
        <w:rPr>
          <w:rFonts w:ascii="Times New Roman" w:hAnsi="Times New Roman" w:cs="Times New Roman"/>
          <w:b/>
        </w:rPr>
        <w:t>INN</w:t>
      </w:r>
      <w:r w:rsidR="00AA788D" w:rsidRPr="00AD7AF8">
        <w:rPr>
          <w:rFonts w:ascii="Times New Roman" w:hAnsi="Times New Roman" w:cs="Times New Roman"/>
          <w:b/>
        </w:rPr>
        <w:t>E RODZAJE RYZYK</w:t>
      </w:r>
    </w:p>
    <w:p w14:paraId="032D797A" w14:textId="77777777" w:rsidR="00083F7C" w:rsidRDefault="00083F7C" w:rsidP="00AD7AF8">
      <w:pPr>
        <w:pStyle w:val="Akapitzlist"/>
        <w:spacing w:line="240" w:lineRule="auto"/>
        <w:ind w:left="0"/>
        <w:jc w:val="both"/>
        <w:rPr>
          <w:rFonts w:ascii="Times New Roman" w:hAnsi="Times New Roman" w:cs="Times New Roman"/>
          <w:b/>
        </w:rPr>
      </w:pPr>
    </w:p>
    <w:p w14:paraId="0E7E5830" w14:textId="2009DAAB" w:rsidR="003710BA" w:rsidRDefault="003710BA" w:rsidP="00AD7AF8">
      <w:pPr>
        <w:pStyle w:val="Akapitzlist"/>
        <w:spacing w:line="240" w:lineRule="auto"/>
        <w:ind w:left="0"/>
        <w:jc w:val="both"/>
        <w:rPr>
          <w:rFonts w:ascii="Times New Roman" w:hAnsi="Times New Roman" w:cs="Times New Roman"/>
          <w:b/>
        </w:rPr>
      </w:pPr>
      <w:r>
        <w:rPr>
          <w:rFonts w:ascii="Times New Roman" w:hAnsi="Times New Roman" w:cs="Times New Roman"/>
          <w:b/>
        </w:rPr>
        <w:t>Wymogi kapitałowe – art.438 Rozporządzenia</w:t>
      </w:r>
    </w:p>
    <w:p w14:paraId="3516928F" w14:textId="620AD182" w:rsidR="003710BA" w:rsidRDefault="003710BA" w:rsidP="009A6274">
      <w:pPr>
        <w:pStyle w:val="Akapitzlist"/>
        <w:numPr>
          <w:ilvl w:val="0"/>
          <w:numId w:val="36"/>
        </w:numPr>
        <w:spacing w:line="240" w:lineRule="auto"/>
        <w:jc w:val="both"/>
        <w:rPr>
          <w:rFonts w:ascii="Times New Roman" w:hAnsi="Times New Roman" w:cs="Times New Roman"/>
          <w:b/>
        </w:rPr>
      </w:pPr>
      <w:r>
        <w:rPr>
          <w:rFonts w:ascii="Times New Roman" w:hAnsi="Times New Roman" w:cs="Times New Roman"/>
          <w:b/>
        </w:rPr>
        <w:t>Opis metody stosowanej przez Bank do oceny adekwatności kapitału wewnętrznego w celu wsparcia bieżących i przyszłych zadań</w:t>
      </w:r>
    </w:p>
    <w:p w14:paraId="54144104" w14:textId="15E8AD62" w:rsidR="003710BA" w:rsidRDefault="003710BA" w:rsidP="009A6274">
      <w:pPr>
        <w:pStyle w:val="Akapitzlist"/>
        <w:numPr>
          <w:ilvl w:val="0"/>
          <w:numId w:val="37"/>
        </w:numPr>
        <w:spacing w:line="240" w:lineRule="auto"/>
        <w:ind w:left="993" w:hanging="284"/>
        <w:jc w:val="both"/>
        <w:rPr>
          <w:rFonts w:ascii="Times New Roman" w:hAnsi="Times New Roman" w:cs="Times New Roman"/>
        </w:rPr>
      </w:pPr>
      <w:r w:rsidRPr="003710BA">
        <w:rPr>
          <w:rFonts w:ascii="Times New Roman" w:hAnsi="Times New Roman" w:cs="Times New Roman"/>
        </w:rPr>
        <w:t xml:space="preserve">Proces </w:t>
      </w:r>
      <w:r>
        <w:rPr>
          <w:rFonts w:ascii="Times New Roman" w:hAnsi="Times New Roman" w:cs="Times New Roman"/>
        </w:rPr>
        <w:t>oceny adek</w:t>
      </w:r>
      <w:r w:rsidRPr="003710BA">
        <w:rPr>
          <w:rFonts w:ascii="Times New Roman" w:hAnsi="Times New Roman" w:cs="Times New Roman"/>
        </w:rPr>
        <w:t>watności kapitał</w:t>
      </w:r>
      <w:r>
        <w:rPr>
          <w:rFonts w:ascii="Times New Roman" w:hAnsi="Times New Roman" w:cs="Times New Roman"/>
        </w:rPr>
        <w:t>u wewnętrznego stanowi integralną część systemu zarządzania Bankiem oraz podejmowania decyzji o charakterze zarządczym z uwzględnieniem strategii Banku, polityki zarządzania kapitałem oraz planów kapitałowych. W ramach procesu oceny adekwatności kapitału wewnętrznego, Bank dąży do sprecyzowania czy posiadany kapitał jest odpowiedni do skali ponoszonego ryzyka, dokonując na bieżąco identyfikacji i oceny ponoszonego ryzyka.</w:t>
      </w:r>
    </w:p>
    <w:p w14:paraId="0A603D1D" w14:textId="669D599E" w:rsidR="005770D3" w:rsidRDefault="007774F2" w:rsidP="009A6274">
      <w:pPr>
        <w:pStyle w:val="Akapitzlist"/>
        <w:numPr>
          <w:ilvl w:val="0"/>
          <w:numId w:val="37"/>
        </w:numPr>
        <w:spacing w:line="240" w:lineRule="auto"/>
        <w:ind w:left="993" w:hanging="284"/>
        <w:jc w:val="both"/>
        <w:rPr>
          <w:rFonts w:ascii="Times New Roman" w:hAnsi="Times New Roman" w:cs="Times New Roman"/>
        </w:rPr>
      </w:pPr>
      <w:r>
        <w:rPr>
          <w:rFonts w:ascii="Times New Roman" w:hAnsi="Times New Roman" w:cs="Times New Roman"/>
        </w:rPr>
        <w:lastRenderedPageBreak/>
        <w:t>Procedurą regu</w:t>
      </w:r>
      <w:r w:rsidR="005770D3">
        <w:rPr>
          <w:rFonts w:ascii="Times New Roman" w:hAnsi="Times New Roman" w:cs="Times New Roman"/>
        </w:rPr>
        <w:t>lującą ocenę adekwatności kapitału i sposób wyznaczania wymogu kapitałowego jest „Instrukcja oceny adekwatności kapitałowej Banku Spółdzielczego w Podegrodziu”;</w:t>
      </w:r>
    </w:p>
    <w:p w14:paraId="1A503377" w14:textId="3D83E262" w:rsidR="003710BA" w:rsidRDefault="005770D3" w:rsidP="009A6274">
      <w:pPr>
        <w:pStyle w:val="Akapitzlist"/>
        <w:numPr>
          <w:ilvl w:val="0"/>
          <w:numId w:val="37"/>
        </w:numPr>
        <w:spacing w:line="240" w:lineRule="auto"/>
        <w:ind w:left="993" w:hanging="284"/>
        <w:jc w:val="both"/>
        <w:rPr>
          <w:rFonts w:ascii="Times New Roman" w:hAnsi="Times New Roman" w:cs="Times New Roman"/>
        </w:rPr>
      </w:pPr>
      <w:r>
        <w:rPr>
          <w:rFonts w:ascii="Times New Roman" w:hAnsi="Times New Roman" w:cs="Times New Roman"/>
        </w:rPr>
        <w:t>Celem procesy oceny adekwatności kapitału wewnętrznego jest zapewnienie utrzymania kapitału w wysokości dostosowanej do profilu ryzyka Banku;</w:t>
      </w:r>
    </w:p>
    <w:p w14:paraId="0790973B" w14:textId="2861AE3C" w:rsidR="005770D3" w:rsidRDefault="005770D3" w:rsidP="009A6274">
      <w:pPr>
        <w:pStyle w:val="Akapitzlist"/>
        <w:numPr>
          <w:ilvl w:val="0"/>
          <w:numId w:val="37"/>
        </w:numPr>
        <w:spacing w:line="240" w:lineRule="auto"/>
        <w:ind w:left="993" w:hanging="284"/>
        <w:jc w:val="both"/>
        <w:rPr>
          <w:rFonts w:ascii="Times New Roman" w:hAnsi="Times New Roman" w:cs="Times New Roman"/>
        </w:rPr>
      </w:pPr>
      <w:r>
        <w:rPr>
          <w:rFonts w:ascii="Times New Roman" w:hAnsi="Times New Roman" w:cs="Times New Roman"/>
        </w:rPr>
        <w:t>W ramach kapitału wewnętrznego zostają uwzględnione ryzyka istotne, związane ze skalą i rodzajem prowadzonej działalności.</w:t>
      </w:r>
    </w:p>
    <w:p w14:paraId="4665EE2A" w14:textId="29EB135D" w:rsidR="005770D3" w:rsidRDefault="005770D3" w:rsidP="009A6274">
      <w:pPr>
        <w:pStyle w:val="Akapitzlist"/>
        <w:numPr>
          <w:ilvl w:val="0"/>
          <w:numId w:val="37"/>
        </w:numPr>
        <w:spacing w:line="240" w:lineRule="auto"/>
        <w:ind w:left="993" w:hanging="284"/>
        <w:jc w:val="both"/>
        <w:rPr>
          <w:rFonts w:ascii="Times New Roman" w:hAnsi="Times New Roman" w:cs="Times New Roman"/>
        </w:rPr>
      </w:pPr>
      <w:r>
        <w:rPr>
          <w:rFonts w:ascii="Times New Roman" w:hAnsi="Times New Roman" w:cs="Times New Roman"/>
        </w:rPr>
        <w:t xml:space="preserve">Istotność ryzyk, ich występowanie i wpływ na wynik finansowy bada się w ramach zarządczego przeglądu procesu szacowania wymogów wewnętrznych </w:t>
      </w:r>
    </w:p>
    <w:p w14:paraId="3A52B246" w14:textId="08C38BD4" w:rsidR="005770D3" w:rsidRDefault="005770D3" w:rsidP="009A6274">
      <w:pPr>
        <w:pStyle w:val="Akapitzlist"/>
        <w:numPr>
          <w:ilvl w:val="0"/>
          <w:numId w:val="37"/>
        </w:numPr>
        <w:spacing w:line="240" w:lineRule="auto"/>
        <w:ind w:left="993" w:hanging="284"/>
        <w:jc w:val="both"/>
        <w:rPr>
          <w:rFonts w:ascii="Times New Roman" w:hAnsi="Times New Roman" w:cs="Times New Roman"/>
        </w:rPr>
      </w:pPr>
      <w:r>
        <w:rPr>
          <w:rFonts w:ascii="Times New Roman" w:hAnsi="Times New Roman" w:cs="Times New Roman"/>
        </w:rPr>
        <w:t>W Banku stosowane są równolegle dwa kryteria istotności ryzyk:</w:t>
      </w:r>
    </w:p>
    <w:p w14:paraId="50D7FE16" w14:textId="029521EA" w:rsidR="005770D3" w:rsidRDefault="005770D3" w:rsidP="009A6274">
      <w:pPr>
        <w:pStyle w:val="Akapitzlist"/>
        <w:numPr>
          <w:ilvl w:val="0"/>
          <w:numId w:val="38"/>
        </w:numPr>
        <w:spacing w:line="240" w:lineRule="auto"/>
        <w:jc w:val="both"/>
        <w:rPr>
          <w:rFonts w:ascii="Times New Roman" w:hAnsi="Times New Roman" w:cs="Times New Roman"/>
        </w:rPr>
      </w:pPr>
      <w:r>
        <w:rPr>
          <w:rFonts w:ascii="Times New Roman" w:hAnsi="Times New Roman" w:cs="Times New Roman"/>
        </w:rPr>
        <w:t>ilościowe – liczone jako udział wymogów kapitałowych, z tytułu danego rodzaju ryzyka w funduszach własnych. Jako istotne określa się ryzyko, na które Bank tworzy wymogi kapitałowe na poziomie wyższym niż 2% funduszy własnych Banku,</w:t>
      </w:r>
    </w:p>
    <w:p w14:paraId="2E42B067" w14:textId="454F7670" w:rsidR="005770D3" w:rsidRDefault="005770D3" w:rsidP="009A6274">
      <w:pPr>
        <w:pStyle w:val="Akapitzlist"/>
        <w:numPr>
          <w:ilvl w:val="0"/>
          <w:numId w:val="38"/>
        </w:numPr>
        <w:spacing w:line="240" w:lineRule="auto"/>
        <w:jc w:val="both"/>
        <w:rPr>
          <w:rFonts w:ascii="Times New Roman" w:hAnsi="Times New Roman" w:cs="Times New Roman"/>
        </w:rPr>
      </w:pPr>
      <w:r>
        <w:rPr>
          <w:rFonts w:ascii="Times New Roman" w:hAnsi="Times New Roman" w:cs="Times New Roman"/>
        </w:rPr>
        <w:t>jakościowe – analizowane niezależnie od kryterium ilościowego w przypadku pozostałych ryzyk, które nie powodują wymiernych strat dla Banku, nie wymagają tworzenia wymogów kapitałowych, a wymienione są w Metodyce BION, Rozporządzeniu Ministra Rozwoju i Finansów oraz Dyrektywie UE – Bank uznaje ww. ryzyka za istotne na podstawie przyjętej strategii, skali i złożoności działa</w:t>
      </w:r>
      <w:r w:rsidR="000379F6">
        <w:rPr>
          <w:rFonts w:ascii="Times New Roman" w:hAnsi="Times New Roman" w:cs="Times New Roman"/>
        </w:rPr>
        <w:t>l</w:t>
      </w:r>
      <w:r>
        <w:rPr>
          <w:rFonts w:ascii="Times New Roman" w:hAnsi="Times New Roman" w:cs="Times New Roman"/>
        </w:rPr>
        <w:t>no</w:t>
      </w:r>
      <w:r w:rsidR="000379F6">
        <w:rPr>
          <w:rFonts w:ascii="Times New Roman" w:hAnsi="Times New Roman" w:cs="Times New Roman"/>
        </w:rPr>
        <w:t>ś</w:t>
      </w:r>
      <w:r>
        <w:rPr>
          <w:rFonts w:ascii="Times New Roman" w:hAnsi="Times New Roman" w:cs="Times New Roman"/>
        </w:rPr>
        <w:t>ci.</w:t>
      </w:r>
    </w:p>
    <w:p w14:paraId="69414A12" w14:textId="4FDE7C10" w:rsidR="005770D3" w:rsidRDefault="005770D3" w:rsidP="009A6274">
      <w:pPr>
        <w:pStyle w:val="Akapitzlist"/>
        <w:numPr>
          <w:ilvl w:val="0"/>
          <w:numId w:val="37"/>
        </w:numPr>
        <w:spacing w:line="240" w:lineRule="auto"/>
        <w:ind w:left="993" w:hanging="284"/>
        <w:jc w:val="both"/>
        <w:rPr>
          <w:rFonts w:ascii="Times New Roman" w:hAnsi="Times New Roman" w:cs="Times New Roman"/>
        </w:rPr>
      </w:pPr>
      <w:r>
        <w:rPr>
          <w:rFonts w:ascii="Times New Roman" w:hAnsi="Times New Roman" w:cs="Times New Roman"/>
        </w:rPr>
        <w:t xml:space="preserve">Rezultatem procesu oceny adekwatności kapitału wewnętrznego </w:t>
      </w:r>
      <w:r w:rsidR="000379F6">
        <w:rPr>
          <w:rFonts w:ascii="Times New Roman" w:hAnsi="Times New Roman" w:cs="Times New Roman"/>
        </w:rPr>
        <w:t>jest ustalenie całkowitego wymaganego poziomu kapitału na pokrycie wszystkich istotnych rodzajów ryzyka i jego jakościowa ocena.</w:t>
      </w:r>
    </w:p>
    <w:p w14:paraId="5ACFE75F" w14:textId="2F8E52AF" w:rsidR="000379F6" w:rsidRDefault="000379F6" w:rsidP="009A6274">
      <w:pPr>
        <w:pStyle w:val="Akapitzlist"/>
        <w:numPr>
          <w:ilvl w:val="0"/>
          <w:numId w:val="37"/>
        </w:numPr>
        <w:spacing w:line="240" w:lineRule="auto"/>
        <w:ind w:left="993" w:hanging="284"/>
        <w:jc w:val="both"/>
        <w:rPr>
          <w:rFonts w:ascii="Times New Roman" w:hAnsi="Times New Roman" w:cs="Times New Roman"/>
        </w:rPr>
      </w:pPr>
      <w:r>
        <w:rPr>
          <w:rFonts w:ascii="Times New Roman" w:hAnsi="Times New Roman" w:cs="Times New Roman"/>
        </w:rPr>
        <w:t>Proces oceny adekwatności kapitału wewnętrznego obejmuje w szczególności:</w:t>
      </w:r>
    </w:p>
    <w:p w14:paraId="0206C3CB" w14:textId="2662D208" w:rsidR="000379F6" w:rsidRDefault="000379F6" w:rsidP="009A6274">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pisemne zasady polityki oraz procedury identyfiko</w:t>
      </w:r>
      <w:r w:rsidR="00AB455A">
        <w:rPr>
          <w:rFonts w:ascii="Times New Roman" w:hAnsi="Times New Roman" w:cs="Times New Roman"/>
        </w:rPr>
        <w:t>acji</w:t>
      </w:r>
      <w:r>
        <w:rPr>
          <w:rFonts w:ascii="Times New Roman" w:hAnsi="Times New Roman" w:cs="Times New Roman"/>
        </w:rPr>
        <w:t>, pomiaru i raportowania ryzyka w działalności Banku,</w:t>
      </w:r>
    </w:p>
    <w:p w14:paraId="194DF4FD" w14:textId="682C4986" w:rsidR="000379F6" w:rsidRDefault="000379F6" w:rsidP="009A6274">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proces ustalania (alokacji) kapitału w zależności od poziomu ryzyka w Banku(opisujący przekształcanie miar ryzyka w ujęciu ilościowym ryzyka w wymogi kapitałowe) – wyznaczanie wielkości kapitału wewnętrznego,</w:t>
      </w:r>
    </w:p>
    <w:p w14:paraId="060D9B03" w14:textId="197AD548" w:rsidR="000379F6" w:rsidRDefault="000379F6" w:rsidP="009A6274">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proces ustalania celów kapitałowych w zakresie adekwatności kapitałowej (docelowy poziom kapitału),</w:t>
      </w:r>
    </w:p>
    <w:p w14:paraId="0B0E1BCC" w14:textId="1AB4DF89" w:rsidR="000379F6" w:rsidRDefault="000379F6" w:rsidP="009A6274">
      <w:pPr>
        <w:pStyle w:val="Akapitzlist"/>
        <w:numPr>
          <w:ilvl w:val="0"/>
          <w:numId w:val="39"/>
        </w:numPr>
        <w:spacing w:line="240" w:lineRule="auto"/>
        <w:jc w:val="both"/>
        <w:rPr>
          <w:rFonts w:ascii="Times New Roman" w:hAnsi="Times New Roman" w:cs="Times New Roman"/>
        </w:rPr>
      </w:pPr>
      <w:r>
        <w:rPr>
          <w:rFonts w:ascii="Times New Roman" w:hAnsi="Times New Roman" w:cs="Times New Roman"/>
        </w:rPr>
        <w:t>system kontroli wewnętrznej w obszarze szacowania i utrzymywania kapitału wewnętrznego.</w:t>
      </w:r>
    </w:p>
    <w:p w14:paraId="21E6D537" w14:textId="0D59F229" w:rsidR="000379F6" w:rsidRDefault="007A2B7C" w:rsidP="009A6274">
      <w:pPr>
        <w:pStyle w:val="Akapitzlist"/>
        <w:numPr>
          <w:ilvl w:val="0"/>
          <w:numId w:val="37"/>
        </w:numPr>
        <w:spacing w:line="240" w:lineRule="auto"/>
        <w:ind w:left="993" w:hanging="284"/>
        <w:jc w:val="both"/>
        <w:rPr>
          <w:rFonts w:ascii="Times New Roman" w:hAnsi="Times New Roman" w:cs="Times New Roman"/>
        </w:rPr>
      </w:pPr>
      <w:r>
        <w:rPr>
          <w:rFonts w:ascii="Times New Roman" w:hAnsi="Times New Roman" w:cs="Times New Roman"/>
        </w:rPr>
        <w:t>Na podstawie obowiązujących kryteriów uznawania poszczególnych rodzajów ryzyka za istotne (kryteria ilościowe i jakościowe) zweryfikowano rodzaje ryzyk które uprzednio poddano analizie w procesie wyznaczania wymogów wewnętrznych. W wyniku przeglądu, zgodnie z Instrukcją oceny adekwatności kapitałowej Banku Spółdzielczego w Podegrodziu uwzględnia się następujące rodzaje ryzyka wynikające z Rozporządzenia i Dyrektywy UE: ryzyko kredytowe (w tym m.in. koncentracji, rezydualne, kontrahenta), ryzyko walutowe,, ryzyko operacyjne, ryzyko płynności i finansowania, ryzyko stopy procentowej w księdze bankowej</w:t>
      </w:r>
      <w:r w:rsidR="00B459AA">
        <w:rPr>
          <w:rFonts w:ascii="Times New Roman" w:hAnsi="Times New Roman" w:cs="Times New Roman"/>
        </w:rPr>
        <w:t>, ryzyko braku zgodności, ryzyko biznesowe, ryzyko kapitałowe (ryzyko niewypłacalności).</w:t>
      </w:r>
    </w:p>
    <w:p w14:paraId="33F65CFC" w14:textId="75639DB3" w:rsidR="00B459AA" w:rsidRDefault="00B459AA" w:rsidP="009A6274">
      <w:pPr>
        <w:pStyle w:val="Akapitzlist"/>
        <w:numPr>
          <w:ilvl w:val="0"/>
          <w:numId w:val="37"/>
        </w:numPr>
        <w:spacing w:line="240" w:lineRule="auto"/>
        <w:ind w:left="993" w:hanging="426"/>
        <w:jc w:val="both"/>
        <w:rPr>
          <w:rFonts w:ascii="Times New Roman" w:hAnsi="Times New Roman" w:cs="Times New Roman"/>
        </w:rPr>
      </w:pPr>
      <w:r>
        <w:rPr>
          <w:rFonts w:ascii="Times New Roman" w:hAnsi="Times New Roman" w:cs="Times New Roman"/>
        </w:rPr>
        <w:t>Poddano analizie również ryzyka trudno mierzalne, ich wpływ na sytuację Banku i stwierdzono, że ryzyka te nie są istotne w działalności Banku lub wyrażają się poprzez wzrost ryzyk mierzalnych. Ryzyka trudno mierzalne poddane weryfikacji to:</w:t>
      </w:r>
    </w:p>
    <w:p w14:paraId="09A5E3E0" w14:textId="590820AB" w:rsidR="00B459AA" w:rsidRDefault="00B459AA" w:rsidP="009A6274">
      <w:pPr>
        <w:pStyle w:val="Akapitzlist"/>
        <w:numPr>
          <w:ilvl w:val="0"/>
          <w:numId w:val="40"/>
        </w:numPr>
        <w:spacing w:line="240" w:lineRule="auto"/>
        <w:jc w:val="both"/>
        <w:rPr>
          <w:rFonts w:ascii="Times New Roman" w:hAnsi="Times New Roman" w:cs="Times New Roman"/>
        </w:rPr>
      </w:pPr>
      <w:r>
        <w:rPr>
          <w:rFonts w:ascii="Times New Roman" w:hAnsi="Times New Roman" w:cs="Times New Roman"/>
        </w:rPr>
        <w:t>ryzyka badane w ramach ryzyka biznesowego – ryzyko cyklu koniunkturalnego, ryzyko strategiczne, ryzyko wyniku finansowego, ryzyko zmiany warunków makroekonomicznych,</w:t>
      </w:r>
    </w:p>
    <w:p w14:paraId="27DA2C05" w14:textId="53A1ECBB" w:rsidR="00B459AA" w:rsidRDefault="00B459AA" w:rsidP="009A6274">
      <w:pPr>
        <w:pStyle w:val="Akapitzlist"/>
        <w:numPr>
          <w:ilvl w:val="0"/>
          <w:numId w:val="40"/>
        </w:numPr>
        <w:spacing w:line="240" w:lineRule="auto"/>
        <w:jc w:val="both"/>
        <w:rPr>
          <w:rFonts w:ascii="Times New Roman" w:hAnsi="Times New Roman" w:cs="Times New Roman"/>
        </w:rPr>
      </w:pPr>
      <w:r>
        <w:rPr>
          <w:rFonts w:ascii="Times New Roman" w:hAnsi="Times New Roman" w:cs="Times New Roman"/>
        </w:rPr>
        <w:t>pozostałe ryzyka trudno mierzalne – ryzyko prawne, ryzyko utraty reputacji, ryzyko transferowe, ryzyko modeli.</w:t>
      </w:r>
    </w:p>
    <w:p w14:paraId="23EDD07A" w14:textId="2C09D1C8" w:rsidR="00B459AA" w:rsidRDefault="007D6EFA" w:rsidP="009A6274">
      <w:pPr>
        <w:pStyle w:val="Akapitzlist"/>
        <w:numPr>
          <w:ilvl w:val="0"/>
          <w:numId w:val="37"/>
        </w:numPr>
        <w:spacing w:line="240" w:lineRule="auto"/>
        <w:ind w:left="993" w:hanging="426"/>
        <w:jc w:val="both"/>
        <w:rPr>
          <w:rFonts w:ascii="Times New Roman" w:hAnsi="Times New Roman" w:cs="Times New Roman"/>
        </w:rPr>
      </w:pPr>
      <w:r>
        <w:rPr>
          <w:rFonts w:ascii="Times New Roman" w:hAnsi="Times New Roman" w:cs="Times New Roman"/>
        </w:rPr>
        <w:t xml:space="preserve">Weryfikację ryzyk uznawanych dotąd za nieistotne </w:t>
      </w:r>
      <w:r w:rsidR="0093102B">
        <w:rPr>
          <w:rFonts w:ascii="Times New Roman" w:hAnsi="Times New Roman" w:cs="Times New Roman"/>
        </w:rPr>
        <w:t xml:space="preserve">przeprowadzono w oparciu </w:t>
      </w:r>
      <w:r w:rsidR="00715BEA">
        <w:rPr>
          <w:rFonts w:ascii="Times New Roman" w:hAnsi="Times New Roman" w:cs="Times New Roman"/>
        </w:rPr>
        <w:t xml:space="preserve"> o Instrukcję oceny adekwatności kapitałowej. </w:t>
      </w:r>
      <w:r w:rsidR="00AB455A">
        <w:rPr>
          <w:rFonts w:ascii="Times New Roman" w:hAnsi="Times New Roman" w:cs="Times New Roman"/>
        </w:rPr>
        <w:t xml:space="preserve">Z </w:t>
      </w:r>
      <w:r w:rsidR="00715BEA">
        <w:rPr>
          <w:rFonts w:ascii="Times New Roman" w:hAnsi="Times New Roman" w:cs="Times New Roman"/>
        </w:rPr>
        <w:t>przeprowadzonej weryfikacji wynika, że ryzyka dotąd uznane przez Bank jako nieistotne nadal pozostają nieistotne, w związku z tym zostaną ponownie zbadane w następnym roku podczas kolejnego przeglądu procedury ICAAP. W p</w:t>
      </w:r>
      <w:r w:rsidR="00483A8F">
        <w:rPr>
          <w:rFonts w:ascii="Times New Roman" w:hAnsi="Times New Roman" w:cs="Times New Roman"/>
        </w:rPr>
        <w:t>rzypadku kiedy w ciągu roku 2020</w:t>
      </w:r>
      <w:r w:rsidR="00715BEA">
        <w:rPr>
          <w:rFonts w:ascii="Times New Roman" w:hAnsi="Times New Roman" w:cs="Times New Roman"/>
        </w:rPr>
        <w:t xml:space="preserve"> na podstawie sporządzonych analiz wystąpią przesłanki do tego aby katalog ryzyk istotnych uległ rozszerzeniu – w odpowiednich procedurach uwzględnione zostaną stosowne zmiany.</w:t>
      </w:r>
    </w:p>
    <w:p w14:paraId="3F36E250" w14:textId="77777777" w:rsidR="001D5FAC" w:rsidRDefault="00715BEA" w:rsidP="009A6274">
      <w:pPr>
        <w:pStyle w:val="Akapitzlist"/>
        <w:numPr>
          <w:ilvl w:val="0"/>
          <w:numId w:val="37"/>
        </w:numPr>
        <w:spacing w:line="240" w:lineRule="auto"/>
        <w:ind w:left="993" w:hanging="426"/>
        <w:jc w:val="both"/>
        <w:rPr>
          <w:rFonts w:ascii="Times New Roman" w:hAnsi="Times New Roman" w:cs="Times New Roman"/>
        </w:rPr>
      </w:pPr>
      <w:r>
        <w:rPr>
          <w:rFonts w:ascii="Times New Roman" w:hAnsi="Times New Roman" w:cs="Times New Roman"/>
        </w:rPr>
        <w:t>Po określeniu wymogu kapitałowego, zgodnie z zapisami Rozporządzenia, Bank szacuje czy wymóg ten jest w pełni adekwatny do poziomu ponoszonego ryzyka. Następnie dokonywany jest pomiar kapitału wewnętrznego dla ryzyk uznanych za istotne, lecz nieuwzględnionych w minimalnym wymogu kapitałowym jako dodatkowy wewnętrzny wymóg kapitałowy. Bank zarządza wszystkimi zidentyfikowanymi rodzajami ryzyka na podstawie pisemnych procedur</w:t>
      </w:r>
      <w:r w:rsidR="001D5FAC">
        <w:rPr>
          <w:rFonts w:ascii="Times New Roman" w:hAnsi="Times New Roman" w:cs="Times New Roman"/>
        </w:rPr>
        <w:t xml:space="preserve"> </w:t>
      </w:r>
      <w:r w:rsidR="001D5FAC">
        <w:rPr>
          <w:rFonts w:ascii="Times New Roman" w:hAnsi="Times New Roman" w:cs="Times New Roman"/>
        </w:rPr>
        <w:lastRenderedPageBreak/>
        <w:t>określających zasady identyfikacji, pomiaru, monitorowania i kontroli odnoszących się do poszczególnych ryzyk.</w:t>
      </w:r>
    </w:p>
    <w:p w14:paraId="22264264" w14:textId="47C17C31" w:rsidR="001D5FAC" w:rsidRDefault="001D5FAC" w:rsidP="009A6274">
      <w:pPr>
        <w:pStyle w:val="Akapitzlist"/>
        <w:numPr>
          <w:ilvl w:val="0"/>
          <w:numId w:val="37"/>
        </w:numPr>
        <w:spacing w:line="240" w:lineRule="auto"/>
        <w:ind w:left="993" w:hanging="426"/>
        <w:jc w:val="both"/>
        <w:rPr>
          <w:rFonts w:ascii="Times New Roman" w:hAnsi="Times New Roman" w:cs="Times New Roman"/>
        </w:rPr>
      </w:pPr>
      <w:r>
        <w:rPr>
          <w:rFonts w:ascii="Times New Roman" w:hAnsi="Times New Roman" w:cs="Times New Roman"/>
        </w:rPr>
        <w:t>Zarządzanie ryzykami, które nie zostały uznane za istotne, może odbywać się na podstawie wspólnych procedur i regulacji wewnętrznych obejmujących grupy ryzyk charaktery</w:t>
      </w:r>
      <w:r w:rsidR="00AB455A">
        <w:rPr>
          <w:rFonts w:ascii="Times New Roman" w:hAnsi="Times New Roman" w:cs="Times New Roman"/>
        </w:rPr>
        <w:t>zujących się podobnymi cechami.</w:t>
      </w:r>
    </w:p>
    <w:p w14:paraId="7A3D460B" w14:textId="64C64FFF" w:rsidR="00153664" w:rsidRDefault="001D5FAC" w:rsidP="009A6274">
      <w:pPr>
        <w:pStyle w:val="Akapitzlist"/>
        <w:numPr>
          <w:ilvl w:val="0"/>
          <w:numId w:val="37"/>
        </w:numPr>
        <w:spacing w:line="240" w:lineRule="auto"/>
        <w:ind w:left="993" w:hanging="426"/>
        <w:jc w:val="both"/>
        <w:rPr>
          <w:rFonts w:ascii="Times New Roman" w:hAnsi="Times New Roman" w:cs="Times New Roman"/>
        </w:rPr>
      </w:pPr>
      <w:r>
        <w:rPr>
          <w:rFonts w:ascii="Times New Roman" w:hAnsi="Times New Roman" w:cs="Times New Roman"/>
        </w:rPr>
        <w:t>Podsumowując wykonany przegląd Instrukcji oceny adekwatności kapitałowej Banku Spółdzielczego w Podegrodziu należy stwierdzić, że jej założenia są dostoswane do skali, złożoności i profilu działalności Banku. Zapisy Instrukcji są adekwatne do założeń zawartych we wszystkich regulacjach określających w Banku ryzyka.</w:t>
      </w:r>
    </w:p>
    <w:p w14:paraId="1D66E460" w14:textId="11C057A8" w:rsidR="00715BEA" w:rsidRPr="003710BA" w:rsidRDefault="00153664" w:rsidP="009A6274">
      <w:pPr>
        <w:pStyle w:val="Akapitzlist"/>
        <w:numPr>
          <w:ilvl w:val="0"/>
          <w:numId w:val="37"/>
        </w:numPr>
        <w:spacing w:line="240" w:lineRule="auto"/>
        <w:ind w:left="993" w:hanging="426"/>
        <w:jc w:val="both"/>
        <w:rPr>
          <w:rFonts w:ascii="Times New Roman" w:hAnsi="Times New Roman" w:cs="Times New Roman"/>
        </w:rPr>
      </w:pPr>
      <w:r>
        <w:rPr>
          <w:rFonts w:ascii="Times New Roman" w:hAnsi="Times New Roman" w:cs="Times New Roman"/>
        </w:rPr>
        <w:t>Ocena adekwatności kapitałowej Ban</w:t>
      </w:r>
      <w:r w:rsidR="00483A8F">
        <w:rPr>
          <w:rFonts w:ascii="Times New Roman" w:hAnsi="Times New Roman" w:cs="Times New Roman"/>
        </w:rPr>
        <w:t>ku przeprowadzona na koniec 2019</w:t>
      </w:r>
      <w:r>
        <w:rPr>
          <w:rFonts w:ascii="Times New Roman" w:hAnsi="Times New Roman" w:cs="Times New Roman"/>
        </w:rPr>
        <w:t xml:space="preserve"> roku wskazuje na wysoki poziom adekwatności , wyrażający się poprzez znaczną nadwyżkę posiadanych funduszy własnych w stosunku do obliczonej wartości kapitału wewnętrznego</w:t>
      </w:r>
    </w:p>
    <w:p w14:paraId="5AB80E56" w14:textId="4821D444" w:rsidR="003710BA" w:rsidRDefault="00153664" w:rsidP="009A6274">
      <w:pPr>
        <w:pStyle w:val="Akapitzlist"/>
        <w:numPr>
          <w:ilvl w:val="0"/>
          <w:numId w:val="36"/>
        </w:numPr>
        <w:spacing w:line="240" w:lineRule="auto"/>
        <w:jc w:val="both"/>
        <w:rPr>
          <w:rFonts w:ascii="Times New Roman" w:hAnsi="Times New Roman" w:cs="Times New Roman"/>
          <w:b/>
        </w:rPr>
      </w:pPr>
      <w:r>
        <w:rPr>
          <w:rFonts w:ascii="Times New Roman" w:hAnsi="Times New Roman" w:cs="Times New Roman"/>
          <w:b/>
        </w:rPr>
        <w:t>Kwoty ekspozycji ważonych ryzykiem zgodnie z przepisami części trzeciej tytuł II rozdział 2 Rozporządzenia – 8% kwot ekspozycji ważonych ryzykiem dla każdej kategorii ekspozycji określonej w art.112</w:t>
      </w:r>
    </w:p>
    <w:p w14:paraId="54D90E9E" w14:textId="03996F4B" w:rsidR="00153664" w:rsidRPr="00153664" w:rsidRDefault="00153664" w:rsidP="00153664">
      <w:pPr>
        <w:pStyle w:val="Akapitzlist"/>
        <w:spacing w:line="240" w:lineRule="auto"/>
        <w:jc w:val="both"/>
        <w:rPr>
          <w:rFonts w:ascii="Times New Roman" w:hAnsi="Times New Roman" w:cs="Times New Roman"/>
        </w:rPr>
      </w:pPr>
      <w:r>
        <w:rPr>
          <w:rFonts w:ascii="Times New Roman" w:hAnsi="Times New Roman" w:cs="Times New Roman"/>
        </w:rPr>
        <w:t xml:space="preserve">Bank stosuje metodę standardową do obliczania wymogu kapitałowego na ryzyko kredytowe. Zgodnie z art. 112 Rozporządzenia UE, Bank stosując metodę standardową zalicza ekspozycję do jednej z klas, wymienionych w Rozporządzeniu UE, którym przypisane są odpowiednie wagi ryzyka. Zestawienie aktywów oraz przypisanych im wag ryzyka dla klas ekspozycji występujących w Banku </w:t>
      </w:r>
      <w:r w:rsidR="0046024D">
        <w:rPr>
          <w:rFonts w:ascii="Times New Roman" w:hAnsi="Times New Roman" w:cs="Times New Roman"/>
        </w:rPr>
        <w:t>zawiera załącznik do Instrukcji oceny adekwatności kapitałowej. Wymóg kapitałowy z tytułu ryzyka kredytowego obliczany jest w zakresie portfela bankowego, w cyklach miesięcznych na koniec okresu sprawozdawczego, przy zastosowaniu metody standardowej, łączny wymóg kapitałowy z  tytułu ryzyka kredytowego oblicza się jako sumę aktywów i udzielonych zobowiązań pozabilansowych ważonych ryzykiem, pomnożonych przez współczynnik 8%</w:t>
      </w:r>
    </w:p>
    <w:p w14:paraId="4E164A01" w14:textId="77777777" w:rsidR="00153664" w:rsidRDefault="00153664" w:rsidP="00483A8F">
      <w:pPr>
        <w:pStyle w:val="Akapitzlist"/>
        <w:spacing w:line="240" w:lineRule="auto"/>
        <w:jc w:val="both"/>
        <w:rPr>
          <w:rFonts w:ascii="Times New Roman" w:hAnsi="Times New Roman" w:cs="Times New Roman"/>
          <w:b/>
        </w:rPr>
      </w:pPr>
    </w:p>
    <w:p w14:paraId="4CCCCE78" w14:textId="77777777" w:rsidR="005E7617" w:rsidRDefault="005E7617" w:rsidP="00042E9A">
      <w:pPr>
        <w:pStyle w:val="Akapitzlist"/>
        <w:ind w:left="1440"/>
        <w:jc w:val="both"/>
        <w:rPr>
          <w:rFonts w:ascii="Times New Roman" w:hAnsi="Times New Roman" w:cs="Times New Roman"/>
        </w:rPr>
      </w:pPr>
    </w:p>
    <w:p w14:paraId="68199ED8" w14:textId="77777777" w:rsidR="0044182F" w:rsidRDefault="00AA788D" w:rsidP="009A6274">
      <w:pPr>
        <w:pStyle w:val="Akapitzlist"/>
        <w:numPr>
          <w:ilvl w:val="0"/>
          <w:numId w:val="21"/>
        </w:numPr>
        <w:ind w:left="426"/>
        <w:rPr>
          <w:rFonts w:ascii="Times New Roman" w:hAnsi="Times New Roman" w:cs="Times New Roman"/>
          <w:b/>
        </w:rPr>
      </w:pPr>
      <w:r w:rsidRPr="00AD7AF8">
        <w:rPr>
          <w:rFonts w:ascii="Times New Roman" w:hAnsi="Times New Roman" w:cs="Times New Roman"/>
          <w:b/>
        </w:rPr>
        <w:t>INFORMACJE ILOŚCIOWE W ZAKRESIE ADEKWATNOŚCI KAPITAŁOWEJ</w:t>
      </w:r>
    </w:p>
    <w:p w14:paraId="39EFA8B9" w14:textId="77777777" w:rsidR="0044182F" w:rsidRDefault="00FE2034" w:rsidP="00D46979">
      <w:pPr>
        <w:spacing w:after="0" w:line="240" w:lineRule="auto"/>
        <w:jc w:val="both"/>
        <w:rPr>
          <w:rFonts w:ascii="Times New Roman" w:hAnsi="Times New Roman"/>
        </w:rPr>
      </w:pPr>
      <w:r w:rsidRPr="00D46979">
        <w:rPr>
          <w:rFonts w:ascii="Times New Roman" w:hAnsi="Times New Roman"/>
          <w:b/>
        </w:rPr>
        <w:t>Informacje ilościowe w zakresie adekwatności kapitałowej</w:t>
      </w:r>
      <w:r w:rsidR="0044182F" w:rsidRPr="00D46979">
        <w:rPr>
          <w:rFonts w:ascii="Times New Roman" w:hAnsi="Times New Roman"/>
          <w:b/>
        </w:rPr>
        <w:t>.</w:t>
      </w:r>
      <w:r w:rsidR="00421620">
        <w:rPr>
          <w:rFonts w:ascii="Times New Roman" w:hAnsi="Times New Roman"/>
          <w:b/>
        </w:rPr>
        <w:t xml:space="preserve"> </w:t>
      </w:r>
      <w:r w:rsidR="0044182F" w:rsidRPr="00AD7AF8">
        <w:rPr>
          <w:rFonts w:ascii="Times New Roman" w:hAnsi="Times New Roman"/>
        </w:rPr>
        <w:t>Wyliczenia wymogu kapitałowego na dzień analizy pokazuje poniższa tabela:</w:t>
      </w:r>
    </w:p>
    <w:tbl>
      <w:tblPr>
        <w:tblW w:w="10341" w:type="dxa"/>
        <w:tblInd w:w="70" w:type="dxa"/>
        <w:tblCellMar>
          <w:left w:w="70" w:type="dxa"/>
          <w:right w:w="70" w:type="dxa"/>
        </w:tblCellMar>
        <w:tblLook w:val="04A0" w:firstRow="1" w:lastRow="0" w:firstColumn="1" w:lastColumn="0" w:noHBand="0" w:noVBand="1"/>
      </w:tblPr>
      <w:tblGrid>
        <w:gridCol w:w="8385"/>
        <w:gridCol w:w="996"/>
        <w:gridCol w:w="960"/>
      </w:tblGrid>
      <w:tr w:rsidR="0054213B" w:rsidRPr="0054213B" w14:paraId="70ABDC22" w14:textId="77777777" w:rsidTr="000F3F7A">
        <w:trPr>
          <w:trHeight w:val="255"/>
        </w:trPr>
        <w:tc>
          <w:tcPr>
            <w:tcW w:w="8385" w:type="dxa"/>
            <w:tcBorders>
              <w:top w:val="nil"/>
              <w:left w:val="nil"/>
              <w:bottom w:val="nil"/>
              <w:right w:val="nil"/>
            </w:tcBorders>
            <w:shd w:val="clear" w:color="auto" w:fill="auto"/>
            <w:noWrap/>
            <w:vAlign w:val="center"/>
            <w:hideMark/>
          </w:tcPr>
          <w:p w14:paraId="3A289C65" w14:textId="6F9BA4D2" w:rsidR="0054213B" w:rsidRDefault="0054213B" w:rsidP="0054213B">
            <w:pPr>
              <w:spacing w:after="0" w:line="240" w:lineRule="auto"/>
              <w:rPr>
                <w:rFonts w:ascii="Arial CE" w:eastAsia="Times New Roman" w:hAnsi="Arial CE" w:cs="Arial CE"/>
                <w:b/>
                <w:bCs/>
                <w:sz w:val="14"/>
                <w:szCs w:val="14"/>
                <w:lang w:eastAsia="pl-PL"/>
              </w:rPr>
            </w:pPr>
            <w:r w:rsidRPr="0054213B">
              <w:rPr>
                <w:rFonts w:ascii="Arial CE" w:eastAsia="Times New Roman" w:hAnsi="Arial CE" w:cs="Arial CE"/>
                <w:b/>
                <w:bCs/>
                <w:sz w:val="14"/>
                <w:szCs w:val="14"/>
                <w:lang w:eastAsia="pl-PL"/>
              </w:rPr>
              <w:t xml:space="preserve">                                                                 Wyliczenie wymogu kapitałowego - stan na dzień 31-12-201</w:t>
            </w:r>
            <w:r w:rsidR="00483A8F">
              <w:rPr>
                <w:rFonts w:ascii="Arial CE" w:eastAsia="Times New Roman" w:hAnsi="Arial CE" w:cs="Arial CE"/>
                <w:b/>
                <w:bCs/>
                <w:sz w:val="14"/>
                <w:szCs w:val="14"/>
                <w:lang w:eastAsia="pl-PL"/>
              </w:rPr>
              <w:t>9</w:t>
            </w:r>
            <w:r w:rsidRPr="0054213B">
              <w:rPr>
                <w:rFonts w:ascii="Arial CE" w:eastAsia="Times New Roman" w:hAnsi="Arial CE" w:cs="Arial CE"/>
                <w:b/>
                <w:bCs/>
                <w:sz w:val="14"/>
                <w:szCs w:val="14"/>
                <w:lang w:eastAsia="pl-PL"/>
              </w:rPr>
              <w: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561"/>
              <w:gridCol w:w="1178"/>
              <w:gridCol w:w="1421"/>
              <w:gridCol w:w="1534"/>
            </w:tblGrid>
            <w:tr w:rsidR="0046024D" w14:paraId="7AC494FC" w14:textId="77777777" w:rsidTr="00483A8F">
              <w:tc>
                <w:tcPr>
                  <w:tcW w:w="541" w:type="dxa"/>
                  <w:tcBorders>
                    <w:top w:val="single" w:sz="4" w:space="0" w:color="000000"/>
                    <w:left w:val="single" w:sz="4" w:space="0" w:color="000000"/>
                    <w:bottom w:val="single" w:sz="4" w:space="0" w:color="000000"/>
                    <w:right w:val="single" w:sz="4" w:space="0" w:color="000000"/>
                  </w:tcBorders>
                  <w:vAlign w:val="center"/>
                  <w:hideMark/>
                </w:tcPr>
                <w:p w14:paraId="1120ED06" w14:textId="77777777" w:rsidR="0046024D" w:rsidRDefault="0046024D" w:rsidP="0046024D">
                  <w:pPr>
                    <w:spacing w:after="0" w:line="240" w:lineRule="auto"/>
                    <w:jc w:val="center"/>
                    <w:rPr>
                      <w:rFonts w:ascii="Times New Roman" w:hAnsi="Times New Roman"/>
                      <w:b/>
                      <w:color w:val="000000"/>
                      <w:sz w:val="18"/>
                    </w:rPr>
                  </w:pPr>
                  <w:r>
                    <w:rPr>
                      <w:rFonts w:ascii="Times New Roman" w:hAnsi="Times New Roman"/>
                      <w:b/>
                      <w:color w:val="000000"/>
                      <w:sz w:val="18"/>
                    </w:rPr>
                    <w:t>Lp.</w:t>
                  </w:r>
                </w:p>
              </w:tc>
              <w:tc>
                <w:tcPr>
                  <w:tcW w:w="3561" w:type="dxa"/>
                  <w:tcBorders>
                    <w:top w:val="single" w:sz="4" w:space="0" w:color="000000"/>
                    <w:left w:val="single" w:sz="4" w:space="0" w:color="000000"/>
                    <w:bottom w:val="single" w:sz="4" w:space="0" w:color="000000"/>
                    <w:right w:val="single" w:sz="4" w:space="0" w:color="000000"/>
                  </w:tcBorders>
                  <w:vAlign w:val="center"/>
                  <w:hideMark/>
                </w:tcPr>
                <w:p w14:paraId="3731AF6F" w14:textId="77777777" w:rsidR="0046024D" w:rsidRDefault="0046024D" w:rsidP="0046024D">
                  <w:pPr>
                    <w:spacing w:after="0" w:line="240" w:lineRule="auto"/>
                    <w:jc w:val="center"/>
                    <w:rPr>
                      <w:rFonts w:ascii="Times New Roman" w:hAnsi="Times New Roman"/>
                      <w:b/>
                      <w:color w:val="000000"/>
                      <w:sz w:val="18"/>
                    </w:rPr>
                  </w:pPr>
                  <w:r>
                    <w:rPr>
                      <w:rFonts w:ascii="Times New Roman" w:hAnsi="Times New Roman"/>
                      <w:b/>
                      <w:color w:val="000000"/>
                      <w:sz w:val="18"/>
                    </w:rPr>
                    <w:t>Klasa ekspozycji</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08240E45" w14:textId="77777777" w:rsidR="0046024D" w:rsidRDefault="0046024D" w:rsidP="0046024D">
                  <w:pPr>
                    <w:spacing w:after="0" w:line="240" w:lineRule="auto"/>
                    <w:jc w:val="center"/>
                    <w:rPr>
                      <w:rFonts w:ascii="Times New Roman" w:hAnsi="Times New Roman"/>
                      <w:b/>
                      <w:color w:val="000000"/>
                      <w:sz w:val="18"/>
                    </w:rPr>
                  </w:pPr>
                  <w:r>
                    <w:rPr>
                      <w:rFonts w:ascii="Times New Roman" w:hAnsi="Times New Roman"/>
                      <w:b/>
                      <w:color w:val="000000"/>
                      <w:sz w:val="18"/>
                    </w:rPr>
                    <w:t>Wartość</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6A44117B" w14:textId="75EC9725" w:rsidR="0046024D" w:rsidRDefault="0046024D" w:rsidP="0046024D">
                  <w:pPr>
                    <w:spacing w:after="0" w:line="240" w:lineRule="auto"/>
                    <w:jc w:val="center"/>
                    <w:rPr>
                      <w:rFonts w:ascii="Times New Roman" w:hAnsi="Times New Roman"/>
                      <w:b/>
                      <w:color w:val="000000"/>
                      <w:sz w:val="18"/>
                    </w:rPr>
                  </w:pPr>
                  <w:r>
                    <w:rPr>
                      <w:rFonts w:ascii="Times New Roman" w:hAnsi="Times New Roman"/>
                      <w:b/>
                      <w:color w:val="000000"/>
                      <w:sz w:val="18"/>
                    </w:rPr>
                    <w:t xml:space="preserve">Kwota ekspozycji ważona ryzykiem w tys. </w:t>
                  </w:r>
                  <w:r w:rsidR="00483A8F">
                    <w:rPr>
                      <w:rFonts w:ascii="Times New Roman" w:hAnsi="Times New Roman"/>
                      <w:b/>
                      <w:color w:val="000000"/>
                      <w:sz w:val="18"/>
                    </w:rPr>
                    <w:t>Z</w:t>
                  </w:r>
                  <w:r>
                    <w:rPr>
                      <w:rFonts w:ascii="Times New Roman" w:hAnsi="Times New Roman"/>
                      <w:b/>
                      <w:color w:val="000000"/>
                      <w:sz w:val="18"/>
                    </w:rPr>
                    <w:t>ł</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505F8029" w14:textId="77777777" w:rsidR="0046024D" w:rsidRDefault="0046024D" w:rsidP="0046024D">
                  <w:pPr>
                    <w:spacing w:after="0" w:line="240" w:lineRule="auto"/>
                    <w:jc w:val="center"/>
                    <w:rPr>
                      <w:rFonts w:ascii="Times New Roman" w:hAnsi="Times New Roman"/>
                      <w:b/>
                      <w:color w:val="000000"/>
                      <w:sz w:val="18"/>
                    </w:rPr>
                  </w:pPr>
                  <w:r>
                    <w:rPr>
                      <w:rFonts w:ascii="Times New Roman" w:hAnsi="Times New Roman"/>
                      <w:b/>
                      <w:color w:val="000000"/>
                      <w:sz w:val="18"/>
                    </w:rPr>
                    <w:t>Kwota wymogu kapitałowego w tys. zł</w:t>
                  </w:r>
                </w:p>
              </w:tc>
            </w:tr>
            <w:tr w:rsidR="0046024D" w14:paraId="25E8C1A2" w14:textId="77777777" w:rsidTr="00483A8F">
              <w:tc>
                <w:tcPr>
                  <w:tcW w:w="541" w:type="dxa"/>
                  <w:tcBorders>
                    <w:top w:val="single" w:sz="4" w:space="0" w:color="000000"/>
                    <w:left w:val="single" w:sz="4" w:space="0" w:color="000000"/>
                    <w:bottom w:val="single" w:sz="4" w:space="0" w:color="000000"/>
                    <w:right w:val="single" w:sz="4" w:space="0" w:color="000000"/>
                  </w:tcBorders>
                  <w:hideMark/>
                </w:tcPr>
                <w:p w14:paraId="62947D8F" w14:textId="77777777" w:rsidR="0046024D" w:rsidRDefault="0046024D" w:rsidP="0046024D">
                  <w:pPr>
                    <w:spacing w:after="0" w:line="240" w:lineRule="auto"/>
                    <w:jc w:val="both"/>
                    <w:rPr>
                      <w:rFonts w:ascii="Times New Roman" w:hAnsi="Times New Roman"/>
                      <w:color w:val="000000"/>
                      <w:sz w:val="18"/>
                    </w:rPr>
                  </w:pPr>
                  <w:r>
                    <w:rPr>
                      <w:rFonts w:ascii="Times New Roman" w:hAnsi="Times New Roman"/>
                      <w:color w:val="000000"/>
                      <w:sz w:val="18"/>
                    </w:rPr>
                    <w:t>1</w:t>
                  </w:r>
                </w:p>
              </w:tc>
              <w:tc>
                <w:tcPr>
                  <w:tcW w:w="3561" w:type="dxa"/>
                  <w:tcBorders>
                    <w:top w:val="single" w:sz="4" w:space="0" w:color="000000"/>
                    <w:left w:val="single" w:sz="4" w:space="0" w:color="000000"/>
                    <w:bottom w:val="single" w:sz="4" w:space="0" w:color="000000"/>
                    <w:right w:val="single" w:sz="4" w:space="0" w:color="000000"/>
                  </w:tcBorders>
                  <w:hideMark/>
                </w:tcPr>
                <w:p w14:paraId="75A1B415" w14:textId="77777777" w:rsidR="0046024D" w:rsidRDefault="0046024D" w:rsidP="0046024D">
                  <w:pPr>
                    <w:spacing w:after="0" w:line="240" w:lineRule="auto"/>
                    <w:jc w:val="both"/>
                    <w:rPr>
                      <w:rFonts w:ascii="Times New Roman" w:hAnsi="Times New Roman"/>
                      <w:color w:val="000000"/>
                      <w:sz w:val="18"/>
                    </w:rPr>
                  </w:pPr>
                  <w:r>
                    <w:rPr>
                      <w:rFonts w:ascii="Times New Roman" w:hAnsi="Times New Roman"/>
                      <w:color w:val="000000"/>
                      <w:sz w:val="18"/>
                    </w:rPr>
                    <w:t>Ekspozycje wobec Rządu i banków centralnych</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5786815D" w14:textId="1C90BBF7"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33 337</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5E1DB0D0" w14:textId="77777777" w:rsidR="0046024D" w:rsidRDefault="0046024D" w:rsidP="0046024D">
                  <w:pPr>
                    <w:spacing w:after="0" w:line="240" w:lineRule="auto"/>
                    <w:jc w:val="right"/>
                    <w:rPr>
                      <w:rFonts w:ascii="Times New Roman" w:hAnsi="Times New Roman"/>
                      <w:color w:val="000000"/>
                      <w:sz w:val="18"/>
                    </w:rPr>
                  </w:pPr>
                  <w:r>
                    <w:rPr>
                      <w:rFonts w:ascii="Times New Roman" w:hAnsi="Times New Roman"/>
                      <w:color w:val="000000"/>
                      <w:sz w:val="18"/>
                    </w:rPr>
                    <w:t>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34150836" w14:textId="77777777" w:rsidR="0046024D" w:rsidRDefault="0046024D" w:rsidP="0046024D">
                  <w:pPr>
                    <w:spacing w:after="0" w:line="240" w:lineRule="auto"/>
                    <w:jc w:val="right"/>
                    <w:rPr>
                      <w:rFonts w:ascii="Times New Roman" w:hAnsi="Times New Roman"/>
                      <w:color w:val="000000"/>
                      <w:sz w:val="18"/>
                    </w:rPr>
                  </w:pPr>
                  <w:r>
                    <w:rPr>
                      <w:rFonts w:ascii="Times New Roman" w:hAnsi="Times New Roman"/>
                      <w:color w:val="000000"/>
                      <w:sz w:val="18"/>
                    </w:rPr>
                    <w:t>0</w:t>
                  </w:r>
                </w:p>
              </w:tc>
            </w:tr>
            <w:tr w:rsidR="0046024D" w14:paraId="658DF3C1" w14:textId="77777777" w:rsidTr="00483A8F">
              <w:tc>
                <w:tcPr>
                  <w:tcW w:w="541" w:type="dxa"/>
                  <w:tcBorders>
                    <w:top w:val="single" w:sz="4" w:space="0" w:color="000000"/>
                    <w:left w:val="single" w:sz="4" w:space="0" w:color="000000"/>
                    <w:bottom w:val="single" w:sz="4" w:space="0" w:color="000000"/>
                    <w:right w:val="single" w:sz="4" w:space="0" w:color="000000"/>
                  </w:tcBorders>
                  <w:hideMark/>
                </w:tcPr>
                <w:p w14:paraId="6D59184D" w14:textId="77777777" w:rsidR="0046024D" w:rsidRDefault="0046024D" w:rsidP="0046024D">
                  <w:pPr>
                    <w:spacing w:after="0" w:line="240" w:lineRule="auto"/>
                    <w:jc w:val="both"/>
                    <w:rPr>
                      <w:rFonts w:ascii="Times New Roman" w:hAnsi="Times New Roman"/>
                      <w:color w:val="000000"/>
                      <w:sz w:val="18"/>
                    </w:rPr>
                  </w:pPr>
                  <w:r>
                    <w:rPr>
                      <w:rFonts w:ascii="Times New Roman" w:hAnsi="Times New Roman"/>
                      <w:color w:val="000000"/>
                      <w:sz w:val="18"/>
                    </w:rPr>
                    <w:t>2</w:t>
                  </w:r>
                </w:p>
              </w:tc>
              <w:tc>
                <w:tcPr>
                  <w:tcW w:w="3561" w:type="dxa"/>
                  <w:tcBorders>
                    <w:top w:val="single" w:sz="4" w:space="0" w:color="000000"/>
                    <w:left w:val="single" w:sz="4" w:space="0" w:color="000000"/>
                    <w:bottom w:val="single" w:sz="4" w:space="0" w:color="000000"/>
                    <w:right w:val="single" w:sz="4" w:space="0" w:color="000000"/>
                  </w:tcBorders>
                  <w:hideMark/>
                </w:tcPr>
                <w:p w14:paraId="0E062182" w14:textId="77777777" w:rsidR="0046024D" w:rsidRDefault="0046024D" w:rsidP="0046024D">
                  <w:pPr>
                    <w:spacing w:after="0" w:line="240" w:lineRule="auto"/>
                    <w:jc w:val="both"/>
                    <w:rPr>
                      <w:rFonts w:ascii="Times New Roman" w:hAnsi="Times New Roman"/>
                      <w:color w:val="000000"/>
                      <w:sz w:val="18"/>
                    </w:rPr>
                  </w:pPr>
                  <w:r>
                    <w:rPr>
                      <w:rFonts w:ascii="Times New Roman" w:hAnsi="Times New Roman"/>
                      <w:color w:val="000000"/>
                      <w:sz w:val="18"/>
                    </w:rPr>
                    <w:t>Ekspozycje wobec samorządów terytorialnych i władz lokalnych</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1C40427C" w14:textId="2B05A529"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10 558</w:t>
                  </w:r>
                  <w:r w:rsidR="0046024D">
                    <w:rPr>
                      <w:rFonts w:ascii="Times New Roman" w:hAnsi="Times New Roman"/>
                      <w:color w:val="000000"/>
                      <w:sz w:val="18"/>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684342BF" w14:textId="4B7F44F5"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2 112</w:t>
                  </w:r>
                  <w:r w:rsidR="0046024D">
                    <w:rPr>
                      <w:rFonts w:ascii="Times New Roman" w:hAnsi="Times New Roman"/>
                      <w:color w:val="000000"/>
                      <w:sz w:val="18"/>
                    </w:rPr>
                    <w:t xml:space="preserve"> </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77647FF6" w14:textId="50ABD8C2"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169</w:t>
                  </w:r>
                </w:p>
              </w:tc>
            </w:tr>
            <w:tr w:rsidR="0046024D" w14:paraId="64255C17" w14:textId="77777777" w:rsidTr="00483A8F">
              <w:trPr>
                <w:trHeight w:val="433"/>
              </w:trPr>
              <w:tc>
                <w:tcPr>
                  <w:tcW w:w="541" w:type="dxa"/>
                  <w:tcBorders>
                    <w:top w:val="single" w:sz="4" w:space="0" w:color="000000"/>
                    <w:left w:val="single" w:sz="4" w:space="0" w:color="000000"/>
                    <w:bottom w:val="single" w:sz="4" w:space="0" w:color="000000"/>
                    <w:right w:val="single" w:sz="4" w:space="0" w:color="000000"/>
                  </w:tcBorders>
                </w:tcPr>
                <w:p w14:paraId="11CD28D4" w14:textId="3F8B6F0B" w:rsidR="0046024D" w:rsidRDefault="00B60B63" w:rsidP="0046024D">
                  <w:pPr>
                    <w:spacing w:after="0" w:line="240" w:lineRule="auto"/>
                    <w:jc w:val="both"/>
                    <w:rPr>
                      <w:rFonts w:ascii="Times New Roman" w:hAnsi="Times New Roman"/>
                      <w:color w:val="000000"/>
                      <w:sz w:val="18"/>
                    </w:rPr>
                  </w:pPr>
                  <w:r>
                    <w:rPr>
                      <w:rFonts w:ascii="Times New Roman" w:hAnsi="Times New Roman"/>
                      <w:color w:val="000000"/>
                      <w:sz w:val="18"/>
                    </w:rPr>
                    <w:t>3</w:t>
                  </w:r>
                </w:p>
              </w:tc>
              <w:tc>
                <w:tcPr>
                  <w:tcW w:w="3561" w:type="dxa"/>
                  <w:tcBorders>
                    <w:top w:val="single" w:sz="4" w:space="0" w:color="000000"/>
                    <w:left w:val="single" w:sz="4" w:space="0" w:color="000000"/>
                    <w:bottom w:val="single" w:sz="4" w:space="0" w:color="000000"/>
                    <w:right w:val="single" w:sz="4" w:space="0" w:color="000000"/>
                  </w:tcBorders>
                  <w:hideMark/>
                </w:tcPr>
                <w:p w14:paraId="06A40E35" w14:textId="77777777" w:rsidR="0046024D" w:rsidRDefault="0046024D" w:rsidP="0046024D">
                  <w:pPr>
                    <w:spacing w:after="0" w:line="240" w:lineRule="auto"/>
                    <w:jc w:val="both"/>
                    <w:rPr>
                      <w:rFonts w:ascii="Times New Roman" w:hAnsi="Times New Roman"/>
                      <w:color w:val="000000"/>
                      <w:sz w:val="18"/>
                    </w:rPr>
                  </w:pPr>
                  <w:r>
                    <w:rPr>
                      <w:rFonts w:ascii="Times New Roman" w:hAnsi="Times New Roman"/>
                      <w:color w:val="000000"/>
                      <w:sz w:val="18"/>
                    </w:rPr>
                    <w:t>Ekspozycje wobec organów administracji i podmiotów nieprow. dz. gospod.</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5EC1BBC7" w14:textId="12D9A568"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49</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494DA7CB" w14:textId="3FE0B0E3"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10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432B032B" w14:textId="49E61293"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1</w:t>
                  </w:r>
                </w:p>
              </w:tc>
            </w:tr>
            <w:tr w:rsidR="0046024D" w14:paraId="24E3B8A4" w14:textId="77777777" w:rsidTr="00483A8F">
              <w:trPr>
                <w:trHeight w:val="256"/>
              </w:trPr>
              <w:tc>
                <w:tcPr>
                  <w:tcW w:w="541" w:type="dxa"/>
                  <w:tcBorders>
                    <w:top w:val="single" w:sz="4" w:space="0" w:color="000000"/>
                    <w:left w:val="single" w:sz="4" w:space="0" w:color="000000"/>
                    <w:bottom w:val="single" w:sz="4" w:space="0" w:color="000000"/>
                    <w:right w:val="single" w:sz="4" w:space="0" w:color="000000"/>
                  </w:tcBorders>
                  <w:hideMark/>
                </w:tcPr>
                <w:p w14:paraId="084AC589" w14:textId="3E4A9B4F" w:rsidR="0046024D" w:rsidRDefault="00B60B63" w:rsidP="0046024D">
                  <w:pPr>
                    <w:spacing w:after="0" w:line="240" w:lineRule="auto"/>
                    <w:jc w:val="both"/>
                    <w:rPr>
                      <w:rFonts w:ascii="Times New Roman" w:hAnsi="Times New Roman"/>
                      <w:color w:val="000000"/>
                      <w:sz w:val="18"/>
                    </w:rPr>
                  </w:pPr>
                  <w:r>
                    <w:rPr>
                      <w:rFonts w:ascii="Times New Roman" w:hAnsi="Times New Roman"/>
                      <w:color w:val="000000"/>
                      <w:sz w:val="18"/>
                    </w:rPr>
                    <w:t>4</w:t>
                  </w:r>
                </w:p>
              </w:tc>
              <w:tc>
                <w:tcPr>
                  <w:tcW w:w="3561" w:type="dxa"/>
                  <w:tcBorders>
                    <w:top w:val="single" w:sz="4" w:space="0" w:color="000000"/>
                    <w:left w:val="single" w:sz="4" w:space="0" w:color="000000"/>
                    <w:bottom w:val="single" w:sz="4" w:space="0" w:color="000000"/>
                    <w:right w:val="single" w:sz="4" w:space="0" w:color="000000"/>
                  </w:tcBorders>
                  <w:hideMark/>
                </w:tcPr>
                <w:p w14:paraId="3788D0D1" w14:textId="4EAE66AA" w:rsidR="0046024D" w:rsidRDefault="0046024D" w:rsidP="0046024D">
                  <w:pPr>
                    <w:spacing w:after="0" w:line="240" w:lineRule="auto"/>
                    <w:jc w:val="both"/>
                    <w:rPr>
                      <w:rFonts w:ascii="Times New Roman" w:hAnsi="Times New Roman"/>
                      <w:color w:val="000000"/>
                      <w:sz w:val="18"/>
                    </w:rPr>
                  </w:pPr>
                  <w:r>
                    <w:rPr>
                      <w:rFonts w:ascii="Times New Roman" w:hAnsi="Times New Roman"/>
                      <w:color w:val="000000"/>
                      <w:sz w:val="18"/>
                    </w:rPr>
                    <w:t xml:space="preserve">Ekspozycje wobec </w:t>
                  </w:r>
                  <w:r w:rsidR="006C2E4D">
                    <w:rPr>
                      <w:rFonts w:ascii="Times New Roman" w:hAnsi="Times New Roman"/>
                      <w:color w:val="000000"/>
                      <w:sz w:val="18"/>
                    </w:rPr>
                    <w:t xml:space="preserve">instytucji </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16BFB6AC" w14:textId="75D35BA3"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25 672</w:t>
                  </w:r>
                  <w:r w:rsidR="0046024D">
                    <w:rPr>
                      <w:rFonts w:ascii="Times New Roman" w:hAnsi="Times New Roman"/>
                      <w:color w:val="000000"/>
                      <w:sz w:val="18"/>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53CFA8AB" w14:textId="76BD355C"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60868D33" w14:textId="6009F477"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0</w:t>
                  </w:r>
                </w:p>
              </w:tc>
            </w:tr>
            <w:tr w:rsidR="0046024D" w14:paraId="2343130E" w14:textId="77777777" w:rsidTr="00483A8F">
              <w:tc>
                <w:tcPr>
                  <w:tcW w:w="541" w:type="dxa"/>
                  <w:tcBorders>
                    <w:top w:val="single" w:sz="4" w:space="0" w:color="000000"/>
                    <w:left w:val="single" w:sz="4" w:space="0" w:color="000000"/>
                    <w:bottom w:val="single" w:sz="4" w:space="0" w:color="000000"/>
                    <w:right w:val="single" w:sz="4" w:space="0" w:color="000000"/>
                  </w:tcBorders>
                  <w:hideMark/>
                </w:tcPr>
                <w:p w14:paraId="4F2F409F" w14:textId="3EF1662B" w:rsidR="0046024D" w:rsidRDefault="00B60B63" w:rsidP="0046024D">
                  <w:pPr>
                    <w:spacing w:after="0" w:line="240" w:lineRule="auto"/>
                    <w:jc w:val="both"/>
                    <w:rPr>
                      <w:rFonts w:ascii="Times New Roman" w:hAnsi="Times New Roman"/>
                      <w:color w:val="000000"/>
                      <w:sz w:val="18"/>
                    </w:rPr>
                  </w:pPr>
                  <w:r>
                    <w:rPr>
                      <w:rFonts w:ascii="Times New Roman" w:hAnsi="Times New Roman"/>
                      <w:color w:val="000000"/>
                      <w:sz w:val="18"/>
                    </w:rPr>
                    <w:t>5</w:t>
                  </w:r>
                </w:p>
              </w:tc>
              <w:tc>
                <w:tcPr>
                  <w:tcW w:w="3561" w:type="dxa"/>
                  <w:tcBorders>
                    <w:top w:val="single" w:sz="4" w:space="0" w:color="000000"/>
                    <w:left w:val="single" w:sz="4" w:space="0" w:color="000000"/>
                    <w:bottom w:val="single" w:sz="4" w:space="0" w:color="000000"/>
                    <w:right w:val="single" w:sz="4" w:space="0" w:color="000000"/>
                  </w:tcBorders>
                  <w:hideMark/>
                </w:tcPr>
                <w:p w14:paraId="62CEF3D1" w14:textId="77777777" w:rsidR="0046024D" w:rsidRDefault="0046024D" w:rsidP="0046024D">
                  <w:pPr>
                    <w:spacing w:after="0" w:line="240" w:lineRule="auto"/>
                    <w:jc w:val="both"/>
                    <w:rPr>
                      <w:rFonts w:ascii="Times New Roman" w:hAnsi="Times New Roman"/>
                      <w:color w:val="000000"/>
                      <w:sz w:val="18"/>
                    </w:rPr>
                  </w:pPr>
                  <w:r>
                    <w:rPr>
                      <w:rFonts w:ascii="Times New Roman" w:hAnsi="Times New Roman"/>
                      <w:color w:val="000000"/>
                      <w:sz w:val="18"/>
                    </w:rPr>
                    <w:t>Duże przedsiębiorstwa</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386C93E2" w14:textId="5D3889C4"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0</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387221B7" w14:textId="6626DDDA"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0D843071" w14:textId="083DDBB3"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0</w:t>
                  </w:r>
                </w:p>
              </w:tc>
            </w:tr>
            <w:tr w:rsidR="00483A8F" w14:paraId="2E21C883" w14:textId="77777777" w:rsidTr="00483A8F">
              <w:tc>
                <w:tcPr>
                  <w:tcW w:w="541" w:type="dxa"/>
                  <w:tcBorders>
                    <w:top w:val="single" w:sz="4" w:space="0" w:color="000000"/>
                    <w:left w:val="single" w:sz="4" w:space="0" w:color="000000"/>
                    <w:bottom w:val="single" w:sz="4" w:space="0" w:color="000000"/>
                    <w:right w:val="single" w:sz="4" w:space="0" w:color="000000"/>
                  </w:tcBorders>
                  <w:hideMark/>
                </w:tcPr>
                <w:p w14:paraId="5F3EB5CF" w14:textId="0AD7E407" w:rsidR="00483A8F" w:rsidRDefault="00B60B63" w:rsidP="00483A8F">
                  <w:pPr>
                    <w:spacing w:after="0" w:line="240" w:lineRule="auto"/>
                    <w:jc w:val="both"/>
                    <w:rPr>
                      <w:rFonts w:ascii="Times New Roman" w:hAnsi="Times New Roman"/>
                      <w:color w:val="000000"/>
                      <w:sz w:val="18"/>
                    </w:rPr>
                  </w:pPr>
                  <w:r>
                    <w:rPr>
                      <w:rFonts w:ascii="Times New Roman" w:hAnsi="Times New Roman"/>
                      <w:color w:val="000000"/>
                      <w:sz w:val="18"/>
                    </w:rPr>
                    <w:t>6</w:t>
                  </w:r>
                </w:p>
              </w:tc>
              <w:tc>
                <w:tcPr>
                  <w:tcW w:w="3561" w:type="dxa"/>
                  <w:tcBorders>
                    <w:top w:val="single" w:sz="4" w:space="0" w:color="000000"/>
                    <w:left w:val="single" w:sz="4" w:space="0" w:color="000000"/>
                    <w:bottom w:val="single" w:sz="4" w:space="0" w:color="000000"/>
                    <w:right w:val="single" w:sz="4" w:space="0" w:color="000000"/>
                  </w:tcBorders>
                  <w:hideMark/>
                </w:tcPr>
                <w:p w14:paraId="03D1A91C" w14:textId="1B22F6D7" w:rsidR="00483A8F" w:rsidRDefault="00483A8F" w:rsidP="00483A8F">
                  <w:pPr>
                    <w:spacing w:after="0" w:line="240" w:lineRule="auto"/>
                    <w:jc w:val="both"/>
                    <w:rPr>
                      <w:rFonts w:ascii="Times New Roman" w:hAnsi="Times New Roman"/>
                      <w:color w:val="000000"/>
                      <w:sz w:val="18"/>
                    </w:rPr>
                  </w:pPr>
                  <w:r>
                    <w:rPr>
                      <w:rFonts w:ascii="Times New Roman" w:hAnsi="Times New Roman"/>
                      <w:color w:val="000000"/>
                      <w:sz w:val="18"/>
                    </w:rPr>
                    <w:t>Ekspozycje wobec Przedsiębiorstw</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1D5141A9" w14:textId="14DA3B15" w:rsidR="00483A8F" w:rsidRDefault="00483A8F" w:rsidP="00483A8F">
                  <w:pPr>
                    <w:spacing w:after="0" w:line="240" w:lineRule="auto"/>
                    <w:jc w:val="right"/>
                    <w:rPr>
                      <w:rFonts w:ascii="Times New Roman" w:hAnsi="Times New Roman"/>
                      <w:color w:val="000000"/>
                      <w:sz w:val="18"/>
                    </w:rPr>
                  </w:pPr>
                  <w:r>
                    <w:rPr>
                      <w:rFonts w:ascii="Times New Roman" w:hAnsi="Times New Roman"/>
                      <w:color w:val="000000"/>
                      <w:sz w:val="18"/>
                    </w:rPr>
                    <w:t>4 731</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5150A37F" w14:textId="4CECFA19" w:rsidR="00483A8F" w:rsidRDefault="00483A8F" w:rsidP="00483A8F">
                  <w:pPr>
                    <w:spacing w:after="0" w:line="240" w:lineRule="auto"/>
                    <w:jc w:val="right"/>
                    <w:rPr>
                      <w:rFonts w:ascii="Times New Roman" w:hAnsi="Times New Roman"/>
                      <w:color w:val="000000"/>
                      <w:sz w:val="18"/>
                    </w:rPr>
                  </w:pPr>
                  <w:r>
                    <w:rPr>
                      <w:rFonts w:ascii="Times New Roman" w:hAnsi="Times New Roman"/>
                      <w:color w:val="000000"/>
                      <w:sz w:val="18"/>
                    </w:rPr>
                    <w:t>1 816</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D9D1455" w14:textId="4A7D4DF8" w:rsidR="00483A8F" w:rsidRDefault="00483A8F" w:rsidP="00483A8F">
                  <w:pPr>
                    <w:spacing w:after="0" w:line="240" w:lineRule="auto"/>
                    <w:jc w:val="right"/>
                    <w:rPr>
                      <w:rFonts w:ascii="Times New Roman" w:hAnsi="Times New Roman"/>
                      <w:color w:val="000000"/>
                      <w:sz w:val="18"/>
                    </w:rPr>
                  </w:pPr>
                  <w:r>
                    <w:rPr>
                      <w:rFonts w:ascii="Times New Roman" w:hAnsi="Times New Roman"/>
                      <w:color w:val="000000"/>
                      <w:sz w:val="18"/>
                    </w:rPr>
                    <w:t>111</w:t>
                  </w:r>
                </w:p>
              </w:tc>
            </w:tr>
            <w:tr w:rsidR="0046024D" w14:paraId="1BBC7EAF" w14:textId="77777777" w:rsidTr="00483A8F">
              <w:tc>
                <w:tcPr>
                  <w:tcW w:w="541" w:type="dxa"/>
                  <w:tcBorders>
                    <w:top w:val="single" w:sz="4" w:space="0" w:color="000000"/>
                    <w:left w:val="single" w:sz="4" w:space="0" w:color="000000"/>
                    <w:bottom w:val="single" w:sz="4" w:space="0" w:color="000000"/>
                    <w:right w:val="single" w:sz="4" w:space="0" w:color="000000"/>
                  </w:tcBorders>
                  <w:hideMark/>
                </w:tcPr>
                <w:p w14:paraId="611615F1" w14:textId="7C7F1431" w:rsidR="0046024D" w:rsidRDefault="00B60B63" w:rsidP="0046024D">
                  <w:pPr>
                    <w:spacing w:after="0" w:line="240" w:lineRule="auto"/>
                    <w:jc w:val="both"/>
                    <w:rPr>
                      <w:rFonts w:ascii="Times New Roman" w:hAnsi="Times New Roman"/>
                      <w:color w:val="000000"/>
                      <w:sz w:val="18"/>
                    </w:rPr>
                  </w:pPr>
                  <w:r>
                    <w:rPr>
                      <w:rFonts w:ascii="Times New Roman" w:hAnsi="Times New Roman"/>
                      <w:color w:val="000000"/>
                      <w:sz w:val="18"/>
                    </w:rPr>
                    <w:t>7</w:t>
                  </w:r>
                </w:p>
              </w:tc>
              <w:tc>
                <w:tcPr>
                  <w:tcW w:w="3561" w:type="dxa"/>
                  <w:tcBorders>
                    <w:top w:val="single" w:sz="4" w:space="0" w:color="000000"/>
                    <w:left w:val="single" w:sz="4" w:space="0" w:color="000000"/>
                    <w:bottom w:val="single" w:sz="4" w:space="0" w:color="000000"/>
                    <w:right w:val="single" w:sz="4" w:space="0" w:color="000000"/>
                  </w:tcBorders>
                  <w:hideMark/>
                </w:tcPr>
                <w:p w14:paraId="27549BEA" w14:textId="77777777" w:rsidR="0046024D" w:rsidRDefault="0046024D" w:rsidP="0046024D">
                  <w:pPr>
                    <w:spacing w:after="0" w:line="240" w:lineRule="auto"/>
                    <w:jc w:val="both"/>
                    <w:rPr>
                      <w:rFonts w:ascii="Times New Roman" w:hAnsi="Times New Roman"/>
                      <w:color w:val="000000"/>
                      <w:sz w:val="18"/>
                    </w:rPr>
                  </w:pPr>
                  <w:r>
                    <w:rPr>
                      <w:rFonts w:ascii="Times New Roman" w:hAnsi="Times New Roman"/>
                      <w:color w:val="000000"/>
                      <w:sz w:val="18"/>
                    </w:rPr>
                    <w:t>Ekspozycje detaliczne</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73EE1FEB" w14:textId="5EF043EA"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12 748</w:t>
                  </w:r>
                  <w:r w:rsidR="0046024D">
                    <w:rPr>
                      <w:rFonts w:ascii="Times New Roman" w:hAnsi="Times New Roman"/>
                      <w:color w:val="000000"/>
                      <w:sz w:val="18"/>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114B7841" w14:textId="015034CD" w:rsidR="0046024D" w:rsidRDefault="00483A8F" w:rsidP="0046024D">
                  <w:pPr>
                    <w:spacing w:after="0"/>
                    <w:jc w:val="right"/>
                    <w:rPr>
                      <w:rFonts w:ascii="Times New Roman" w:hAnsi="Times New Roman"/>
                      <w:color w:val="000000"/>
                      <w:sz w:val="18"/>
                      <w:szCs w:val="20"/>
                    </w:rPr>
                  </w:pPr>
                  <w:r>
                    <w:rPr>
                      <w:rFonts w:ascii="Times New Roman" w:hAnsi="Times New Roman"/>
                      <w:color w:val="000000"/>
                      <w:sz w:val="18"/>
                      <w:szCs w:val="20"/>
                    </w:rPr>
                    <w:t>7 737</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7510F16" w14:textId="7691EACF" w:rsidR="0046024D" w:rsidRDefault="00483A8F" w:rsidP="0046024D">
                  <w:pPr>
                    <w:spacing w:after="0"/>
                    <w:jc w:val="right"/>
                    <w:rPr>
                      <w:rFonts w:ascii="Times New Roman" w:hAnsi="Times New Roman"/>
                      <w:color w:val="000000"/>
                      <w:sz w:val="18"/>
                      <w:szCs w:val="20"/>
                    </w:rPr>
                  </w:pPr>
                  <w:r>
                    <w:rPr>
                      <w:rFonts w:ascii="Times New Roman" w:hAnsi="Times New Roman"/>
                      <w:color w:val="000000"/>
                      <w:sz w:val="18"/>
                      <w:szCs w:val="20"/>
                    </w:rPr>
                    <w:t>552</w:t>
                  </w:r>
                </w:p>
              </w:tc>
            </w:tr>
            <w:tr w:rsidR="0046024D" w14:paraId="74CA0F23" w14:textId="77777777" w:rsidTr="00483A8F">
              <w:trPr>
                <w:trHeight w:val="280"/>
              </w:trPr>
              <w:tc>
                <w:tcPr>
                  <w:tcW w:w="541" w:type="dxa"/>
                  <w:tcBorders>
                    <w:top w:val="single" w:sz="4" w:space="0" w:color="000000"/>
                    <w:left w:val="single" w:sz="4" w:space="0" w:color="000000"/>
                    <w:bottom w:val="single" w:sz="4" w:space="0" w:color="000000"/>
                    <w:right w:val="single" w:sz="4" w:space="0" w:color="000000"/>
                  </w:tcBorders>
                  <w:hideMark/>
                </w:tcPr>
                <w:p w14:paraId="2954C230" w14:textId="738D29CC" w:rsidR="0046024D" w:rsidRDefault="00B60B63" w:rsidP="0046024D">
                  <w:pPr>
                    <w:spacing w:after="0" w:line="240" w:lineRule="auto"/>
                    <w:jc w:val="both"/>
                    <w:rPr>
                      <w:rFonts w:ascii="Times New Roman" w:hAnsi="Times New Roman"/>
                      <w:color w:val="000000"/>
                      <w:sz w:val="18"/>
                    </w:rPr>
                  </w:pPr>
                  <w:r>
                    <w:rPr>
                      <w:rFonts w:ascii="Times New Roman" w:hAnsi="Times New Roman"/>
                      <w:color w:val="000000"/>
                      <w:sz w:val="18"/>
                    </w:rPr>
                    <w:t>8</w:t>
                  </w:r>
                </w:p>
              </w:tc>
              <w:tc>
                <w:tcPr>
                  <w:tcW w:w="3561" w:type="dxa"/>
                  <w:tcBorders>
                    <w:top w:val="single" w:sz="4" w:space="0" w:color="000000"/>
                    <w:left w:val="single" w:sz="4" w:space="0" w:color="000000"/>
                    <w:bottom w:val="single" w:sz="4" w:space="0" w:color="000000"/>
                    <w:right w:val="single" w:sz="4" w:space="0" w:color="000000"/>
                  </w:tcBorders>
                  <w:hideMark/>
                </w:tcPr>
                <w:p w14:paraId="33AA7146" w14:textId="77777777" w:rsidR="0046024D" w:rsidRDefault="0046024D" w:rsidP="0046024D">
                  <w:pPr>
                    <w:spacing w:after="0" w:line="240" w:lineRule="auto"/>
                    <w:rPr>
                      <w:rFonts w:ascii="Times New Roman" w:hAnsi="Times New Roman"/>
                      <w:color w:val="000000"/>
                      <w:sz w:val="18"/>
                    </w:rPr>
                  </w:pPr>
                  <w:r>
                    <w:rPr>
                      <w:rFonts w:ascii="Times New Roman" w:hAnsi="Times New Roman"/>
                      <w:color w:val="000000"/>
                      <w:sz w:val="18"/>
                    </w:rPr>
                    <w:t>Ekspozycje zabezpieczone hipotekami na nieruchomościach</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2CC848FF" w14:textId="6A5055FE" w:rsidR="0046024D" w:rsidRDefault="00483A8F" w:rsidP="0046024D">
                  <w:pPr>
                    <w:spacing w:after="0" w:line="240" w:lineRule="auto"/>
                    <w:jc w:val="right"/>
                    <w:rPr>
                      <w:rFonts w:ascii="Times New Roman" w:hAnsi="Times New Roman"/>
                      <w:color w:val="000000"/>
                      <w:sz w:val="18"/>
                    </w:rPr>
                  </w:pPr>
                  <w:r>
                    <w:rPr>
                      <w:rFonts w:ascii="Times New Roman" w:hAnsi="Times New Roman"/>
                      <w:color w:val="000000"/>
                      <w:sz w:val="18"/>
                    </w:rPr>
                    <w:t>18 108</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1AA52BD1" w14:textId="2EB0F136" w:rsidR="0046024D" w:rsidRDefault="00BE19F4" w:rsidP="0046024D">
                  <w:pPr>
                    <w:spacing w:after="0"/>
                    <w:jc w:val="right"/>
                    <w:rPr>
                      <w:rFonts w:ascii="Times New Roman" w:hAnsi="Times New Roman"/>
                      <w:color w:val="000000"/>
                      <w:sz w:val="18"/>
                      <w:szCs w:val="20"/>
                    </w:rPr>
                  </w:pPr>
                  <w:r>
                    <w:rPr>
                      <w:rFonts w:ascii="Times New Roman" w:hAnsi="Times New Roman"/>
                      <w:color w:val="000000"/>
                      <w:sz w:val="18"/>
                      <w:szCs w:val="20"/>
                    </w:rPr>
                    <w:t>13 371</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4D8EA7D9" w14:textId="27124369" w:rsidR="0046024D" w:rsidRDefault="00BE19F4" w:rsidP="0046024D">
                  <w:pPr>
                    <w:spacing w:after="0"/>
                    <w:jc w:val="right"/>
                    <w:rPr>
                      <w:rFonts w:ascii="Times New Roman" w:hAnsi="Times New Roman"/>
                      <w:color w:val="000000"/>
                      <w:sz w:val="18"/>
                      <w:szCs w:val="20"/>
                    </w:rPr>
                  </w:pPr>
                  <w:r>
                    <w:rPr>
                      <w:rFonts w:ascii="Times New Roman" w:hAnsi="Times New Roman"/>
                      <w:color w:val="000000"/>
                      <w:sz w:val="18"/>
                      <w:szCs w:val="20"/>
                    </w:rPr>
                    <w:t>953</w:t>
                  </w:r>
                </w:p>
              </w:tc>
            </w:tr>
            <w:tr w:rsidR="0046024D" w14:paraId="71543C8E" w14:textId="77777777" w:rsidTr="00483A8F">
              <w:tc>
                <w:tcPr>
                  <w:tcW w:w="541" w:type="dxa"/>
                  <w:tcBorders>
                    <w:top w:val="single" w:sz="4" w:space="0" w:color="000000"/>
                    <w:left w:val="single" w:sz="4" w:space="0" w:color="000000"/>
                    <w:bottom w:val="single" w:sz="4" w:space="0" w:color="000000"/>
                    <w:right w:val="single" w:sz="4" w:space="0" w:color="000000"/>
                  </w:tcBorders>
                  <w:hideMark/>
                </w:tcPr>
                <w:p w14:paraId="06B3B3B8" w14:textId="791AB0BC" w:rsidR="0046024D" w:rsidRDefault="00B60B63" w:rsidP="0046024D">
                  <w:pPr>
                    <w:spacing w:after="0" w:line="240" w:lineRule="auto"/>
                    <w:jc w:val="both"/>
                    <w:rPr>
                      <w:rFonts w:ascii="Times New Roman" w:hAnsi="Times New Roman"/>
                      <w:color w:val="000000"/>
                      <w:sz w:val="18"/>
                    </w:rPr>
                  </w:pPr>
                  <w:r>
                    <w:rPr>
                      <w:rFonts w:ascii="Times New Roman" w:hAnsi="Times New Roman"/>
                      <w:color w:val="000000"/>
                      <w:sz w:val="18"/>
                    </w:rPr>
                    <w:t>9</w:t>
                  </w:r>
                </w:p>
              </w:tc>
              <w:tc>
                <w:tcPr>
                  <w:tcW w:w="3561" w:type="dxa"/>
                  <w:tcBorders>
                    <w:top w:val="single" w:sz="4" w:space="0" w:color="000000"/>
                    <w:left w:val="single" w:sz="4" w:space="0" w:color="000000"/>
                    <w:bottom w:val="single" w:sz="4" w:space="0" w:color="000000"/>
                    <w:right w:val="single" w:sz="4" w:space="0" w:color="000000"/>
                  </w:tcBorders>
                  <w:hideMark/>
                </w:tcPr>
                <w:p w14:paraId="37025304" w14:textId="014399F2" w:rsidR="0046024D" w:rsidRPr="00BE19F4" w:rsidRDefault="00BE19F4" w:rsidP="00BE19F4">
                  <w:pPr>
                    <w:spacing w:before="100" w:beforeAutospacing="1" w:after="0" w:line="240" w:lineRule="auto"/>
                    <w:rPr>
                      <w:rFonts w:ascii="Calibri" w:eastAsia="Times New Roman" w:hAnsi="Calibri" w:cs="Calibri"/>
                      <w:color w:val="000000"/>
                      <w:lang w:eastAsia="pl-PL"/>
                    </w:rPr>
                  </w:pPr>
                  <w:r w:rsidRPr="00BE19F4">
                    <w:rPr>
                      <w:rFonts w:ascii="Times New Roman" w:eastAsia="Times New Roman" w:hAnsi="Times New Roman" w:cs="Times New Roman"/>
                      <w:color w:val="000000"/>
                      <w:sz w:val="18"/>
                      <w:szCs w:val="18"/>
                      <w:lang w:eastAsia="pl-PL"/>
                    </w:rPr>
                    <w:t>Ekspozycje których dotyczy niewykonanie zobowiązania</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6F378AA1" w14:textId="4F245827" w:rsidR="0046024D" w:rsidRDefault="00BE19F4" w:rsidP="0046024D">
                  <w:pPr>
                    <w:spacing w:after="0" w:line="240" w:lineRule="auto"/>
                    <w:jc w:val="right"/>
                    <w:rPr>
                      <w:rFonts w:ascii="Times New Roman" w:hAnsi="Times New Roman"/>
                      <w:color w:val="000000"/>
                      <w:sz w:val="18"/>
                      <w:szCs w:val="20"/>
                    </w:rPr>
                  </w:pPr>
                  <w:r>
                    <w:rPr>
                      <w:rFonts w:ascii="Times New Roman" w:hAnsi="Times New Roman"/>
                      <w:color w:val="000000"/>
                      <w:sz w:val="18"/>
                      <w:szCs w:val="20"/>
                    </w:rPr>
                    <w:t>257</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40CE3BF3" w14:textId="5A6F91B8" w:rsidR="0046024D" w:rsidRDefault="00BE19F4" w:rsidP="0046024D">
                  <w:pPr>
                    <w:spacing w:after="0" w:line="240" w:lineRule="auto"/>
                    <w:jc w:val="right"/>
                    <w:rPr>
                      <w:rFonts w:ascii="Times New Roman" w:hAnsi="Times New Roman"/>
                      <w:color w:val="000000"/>
                      <w:sz w:val="18"/>
                    </w:rPr>
                  </w:pPr>
                  <w:r>
                    <w:rPr>
                      <w:rFonts w:ascii="Times New Roman" w:hAnsi="Times New Roman"/>
                      <w:color w:val="000000"/>
                      <w:sz w:val="18"/>
                    </w:rPr>
                    <w:t>283</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42DE9DB0" w14:textId="0AC5BABF" w:rsidR="0046024D" w:rsidRDefault="00BE19F4" w:rsidP="0046024D">
                  <w:pPr>
                    <w:spacing w:after="0" w:line="240" w:lineRule="auto"/>
                    <w:jc w:val="right"/>
                    <w:rPr>
                      <w:rFonts w:ascii="Times New Roman" w:hAnsi="Times New Roman"/>
                      <w:color w:val="000000"/>
                      <w:sz w:val="18"/>
                    </w:rPr>
                  </w:pPr>
                  <w:r>
                    <w:rPr>
                      <w:rFonts w:ascii="Times New Roman" w:hAnsi="Times New Roman"/>
                      <w:color w:val="000000"/>
                      <w:sz w:val="18"/>
                    </w:rPr>
                    <w:t>23</w:t>
                  </w:r>
                </w:p>
              </w:tc>
            </w:tr>
            <w:tr w:rsidR="00B60B63" w14:paraId="3C0F078F" w14:textId="77777777" w:rsidTr="00483A8F">
              <w:tc>
                <w:tcPr>
                  <w:tcW w:w="541" w:type="dxa"/>
                  <w:tcBorders>
                    <w:top w:val="single" w:sz="4" w:space="0" w:color="000000"/>
                    <w:left w:val="single" w:sz="4" w:space="0" w:color="000000"/>
                    <w:bottom w:val="single" w:sz="4" w:space="0" w:color="000000"/>
                    <w:right w:val="single" w:sz="4" w:space="0" w:color="000000"/>
                  </w:tcBorders>
                </w:tcPr>
                <w:p w14:paraId="70485F02" w14:textId="2FC34959" w:rsidR="00B60B63" w:rsidRDefault="00B60B63" w:rsidP="0046024D">
                  <w:pPr>
                    <w:spacing w:after="0" w:line="240" w:lineRule="auto"/>
                    <w:jc w:val="both"/>
                    <w:rPr>
                      <w:rFonts w:ascii="Times New Roman" w:hAnsi="Times New Roman"/>
                      <w:color w:val="000000"/>
                      <w:sz w:val="18"/>
                    </w:rPr>
                  </w:pPr>
                  <w:r>
                    <w:rPr>
                      <w:rFonts w:ascii="Times New Roman" w:hAnsi="Times New Roman"/>
                      <w:color w:val="000000"/>
                      <w:sz w:val="18"/>
                    </w:rPr>
                    <w:t>10</w:t>
                  </w:r>
                </w:p>
              </w:tc>
              <w:tc>
                <w:tcPr>
                  <w:tcW w:w="3561" w:type="dxa"/>
                  <w:tcBorders>
                    <w:top w:val="single" w:sz="4" w:space="0" w:color="000000"/>
                    <w:left w:val="single" w:sz="4" w:space="0" w:color="000000"/>
                    <w:bottom w:val="single" w:sz="4" w:space="0" w:color="000000"/>
                    <w:right w:val="single" w:sz="4" w:space="0" w:color="000000"/>
                  </w:tcBorders>
                </w:tcPr>
                <w:p w14:paraId="2371B794" w14:textId="10068D93" w:rsidR="00B60B63" w:rsidRPr="00B60B63" w:rsidRDefault="00B60B63" w:rsidP="00BE19F4">
                  <w:pPr>
                    <w:spacing w:before="100" w:beforeAutospacing="1" w:after="0" w:line="240" w:lineRule="auto"/>
                    <w:rPr>
                      <w:rFonts w:ascii="Calibri" w:eastAsia="Times New Roman" w:hAnsi="Calibri" w:cs="Calibri"/>
                      <w:color w:val="000000"/>
                      <w:lang w:eastAsia="pl-PL"/>
                    </w:rPr>
                  </w:pPr>
                  <w:r w:rsidRPr="00B60B63">
                    <w:rPr>
                      <w:rFonts w:ascii="Times New Roman" w:eastAsia="Times New Roman" w:hAnsi="Times New Roman" w:cs="Times New Roman"/>
                      <w:color w:val="000000"/>
                      <w:sz w:val="18"/>
                      <w:szCs w:val="18"/>
                      <w:lang w:eastAsia="pl-PL"/>
                    </w:rPr>
                    <w:t>Ekspozycje kapitałowe</w:t>
                  </w:r>
                </w:p>
              </w:tc>
              <w:tc>
                <w:tcPr>
                  <w:tcW w:w="1178" w:type="dxa"/>
                  <w:tcBorders>
                    <w:top w:val="single" w:sz="4" w:space="0" w:color="000000"/>
                    <w:left w:val="single" w:sz="4" w:space="0" w:color="000000"/>
                    <w:bottom w:val="single" w:sz="4" w:space="0" w:color="000000"/>
                    <w:right w:val="single" w:sz="4" w:space="0" w:color="000000"/>
                  </w:tcBorders>
                  <w:vAlign w:val="center"/>
                </w:tcPr>
                <w:p w14:paraId="5C9C7950" w14:textId="23DA0D2B" w:rsidR="00B60B63" w:rsidRDefault="00B60B63" w:rsidP="0046024D">
                  <w:pPr>
                    <w:spacing w:after="0" w:line="240" w:lineRule="auto"/>
                    <w:jc w:val="right"/>
                    <w:rPr>
                      <w:rFonts w:ascii="Times New Roman" w:hAnsi="Times New Roman"/>
                      <w:color w:val="000000"/>
                      <w:sz w:val="18"/>
                      <w:szCs w:val="20"/>
                    </w:rPr>
                  </w:pPr>
                  <w:r>
                    <w:rPr>
                      <w:rFonts w:ascii="Times New Roman" w:hAnsi="Times New Roman"/>
                      <w:color w:val="000000"/>
                      <w:sz w:val="18"/>
                      <w:szCs w:val="20"/>
                    </w:rPr>
                    <w:t>2 982</w:t>
                  </w:r>
                </w:p>
              </w:tc>
              <w:tc>
                <w:tcPr>
                  <w:tcW w:w="1421" w:type="dxa"/>
                  <w:tcBorders>
                    <w:top w:val="single" w:sz="4" w:space="0" w:color="000000"/>
                    <w:left w:val="single" w:sz="4" w:space="0" w:color="000000"/>
                    <w:bottom w:val="single" w:sz="4" w:space="0" w:color="000000"/>
                    <w:right w:val="single" w:sz="4" w:space="0" w:color="000000"/>
                  </w:tcBorders>
                  <w:vAlign w:val="center"/>
                </w:tcPr>
                <w:p w14:paraId="79E6D603" w14:textId="1EF3E3E0" w:rsidR="00B60B63" w:rsidRDefault="00B60B63" w:rsidP="0046024D">
                  <w:pPr>
                    <w:spacing w:after="0" w:line="240" w:lineRule="auto"/>
                    <w:jc w:val="right"/>
                    <w:rPr>
                      <w:rFonts w:ascii="Times New Roman" w:hAnsi="Times New Roman"/>
                      <w:color w:val="000000"/>
                      <w:sz w:val="18"/>
                    </w:rPr>
                  </w:pPr>
                  <w:r>
                    <w:rPr>
                      <w:rFonts w:ascii="Times New Roman" w:hAnsi="Times New Roman"/>
                      <w:color w:val="000000"/>
                      <w:sz w:val="18"/>
                    </w:rPr>
                    <w:t xml:space="preserve">2 982 </w:t>
                  </w:r>
                </w:p>
              </w:tc>
              <w:tc>
                <w:tcPr>
                  <w:tcW w:w="1534" w:type="dxa"/>
                  <w:tcBorders>
                    <w:top w:val="single" w:sz="4" w:space="0" w:color="000000"/>
                    <w:left w:val="single" w:sz="4" w:space="0" w:color="000000"/>
                    <w:bottom w:val="single" w:sz="4" w:space="0" w:color="000000"/>
                    <w:right w:val="single" w:sz="4" w:space="0" w:color="000000"/>
                  </w:tcBorders>
                  <w:vAlign w:val="center"/>
                </w:tcPr>
                <w:p w14:paraId="27AD3D22" w14:textId="0D79C78B" w:rsidR="00B60B63" w:rsidRDefault="00B60B63" w:rsidP="0046024D">
                  <w:pPr>
                    <w:spacing w:after="0" w:line="240" w:lineRule="auto"/>
                    <w:jc w:val="right"/>
                    <w:rPr>
                      <w:rFonts w:ascii="Times New Roman" w:hAnsi="Times New Roman"/>
                      <w:color w:val="000000"/>
                      <w:sz w:val="18"/>
                    </w:rPr>
                  </w:pPr>
                  <w:r>
                    <w:rPr>
                      <w:rFonts w:ascii="Times New Roman" w:hAnsi="Times New Roman"/>
                      <w:color w:val="000000"/>
                      <w:sz w:val="18"/>
                    </w:rPr>
                    <w:t>239</w:t>
                  </w:r>
                </w:p>
              </w:tc>
            </w:tr>
            <w:tr w:rsidR="0046024D" w14:paraId="74259C02" w14:textId="77777777" w:rsidTr="00483A8F">
              <w:trPr>
                <w:trHeight w:val="148"/>
              </w:trPr>
              <w:tc>
                <w:tcPr>
                  <w:tcW w:w="541" w:type="dxa"/>
                  <w:tcBorders>
                    <w:top w:val="single" w:sz="4" w:space="0" w:color="000000"/>
                    <w:left w:val="single" w:sz="4" w:space="0" w:color="000000"/>
                    <w:bottom w:val="single" w:sz="4" w:space="0" w:color="000000"/>
                    <w:right w:val="single" w:sz="4" w:space="0" w:color="000000"/>
                  </w:tcBorders>
                  <w:hideMark/>
                </w:tcPr>
                <w:p w14:paraId="47A408B3" w14:textId="7A40D28B" w:rsidR="0046024D" w:rsidRDefault="00B60B63" w:rsidP="0046024D">
                  <w:pPr>
                    <w:spacing w:after="0" w:line="240" w:lineRule="auto"/>
                    <w:jc w:val="both"/>
                    <w:rPr>
                      <w:rFonts w:ascii="Times New Roman" w:hAnsi="Times New Roman"/>
                      <w:color w:val="000000"/>
                      <w:sz w:val="18"/>
                    </w:rPr>
                  </w:pPr>
                  <w:r>
                    <w:rPr>
                      <w:rFonts w:ascii="Times New Roman" w:hAnsi="Times New Roman"/>
                      <w:color w:val="000000"/>
                      <w:sz w:val="18"/>
                    </w:rPr>
                    <w:t>11</w:t>
                  </w:r>
                </w:p>
              </w:tc>
              <w:tc>
                <w:tcPr>
                  <w:tcW w:w="3561" w:type="dxa"/>
                  <w:tcBorders>
                    <w:top w:val="single" w:sz="4" w:space="0" w:color="000000"/>
                    <w:left w:val="single" w:sz="4" w:space="0" w:color="000000"/>
                    <w:bottom w:val="single" w:sz="4" w:space="0" w:color="000000"/>
                    <w:right w:val="single" w:sz="4" w:space="0" w:color="000000"/>
                  </w:tcBorders>
                  <w:hideMark/>
                </w:tcPr>
                <w:p w14:paraId="7AEE9144" w14:textId="77777777" w:rsidR="0046024D" w:rsidRDefault="0046024D" w:rsidP="0046024D">
                  <w:pPr>
                    <w:spacing w:after="0" w:line="240" w:lineRule="auto"/>
                    <w:jc w:val="both"/>
                    <w:rPr>
                      <w:rFonts w:ascii="Times New Roman" w:hAnsi="Times New Roman"/>
                      <w:color w:val="000000"/>
                      <w:sz w:val="18"/>
                    </w:rPr>
                  </w:pPr>
                  <w:r>
                    <w:rPr>
                      <w:rFonts w:ascii="Times New Roman" w:hAnsi="Times New Roman"/>
                      <w:color w:val="000000"/>
                      <w:sz w:val="18"/>
                    </w:rPr>
                    <w:t>Ekspozycje pozostałe</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2D47E088" w14:textId="66A783FB" w:rsidR="0046024D" w:rsidRDefault="00B60B63" w:rsidP="0046024D">
                  <w:pPr>
                    <w:spacing w:after="0"/>
                    <w:jc w:val="right"/>
                    <w:rPr>
                      <w:rFonts w:ascii="Times New Roman" w:hAnsi="Times New Roman"/>
                      <w:color w:val="000000"/>
                      <w:sz w:val="18"/>
                      <w:szCs w:val="20"/>
                    </w:rPr>
                  </w:pPr>
                  <w:r>
                    <w:rPr>
                      <w:rFonts w:ascii="Times New Roman" w:hAnsi="Times New Roman"/>
                      <w:color w:val="000000"/>
                      <w:sz w:val="18"/>
                      <w:szCs w:val="20"/>
                    </w:rPr>
                    <w:t>5 003</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397D7A94" w14:textId="7D8E9F3C" w:rsidR="0046024D" w:rsidRDefault="00B60B63" w:rsidP="0046024D">
                  <w:pPr>
                    <w:spacing w:after="0"/>
                    <w:jc w:val="right"/>
                    <w:rPr>
                      <w:rFonts w:ascii="Times New Roman" w:hAnsi="Times New Roman"/>
                      <w:color w:val="000000"/>
                      <w:sz w:val="18"/>
                      <w:szCs w:val="20"/>
                    </w:rPr>
                  </w:pPr>
                  <w:r>
                    <w:rPr>
                      <w:rFonts w:ascii="Times New Roman" w:hAnsi="Times New Roman"/>
                      <w:color w:val="000000"/>
                      <w:sz w:val="18"/>
                      <w:szCs w:val="20"/>
                    </w:rPr>
                    <w:t>2 791</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DD449F2" w14:textId="363E98C8" w:rsidR="0046024D" w:rsidRDefault="00B60B63" w:rsidP="0046024D">
                  <w:pPr>
                    <w:spacing w:after="0"/>
                    <w:jc w:val="right"/>
                    <w:rPr>
                      <w:rFonts w:ascii="Times New Roman" w:hAnsi="Times New Roman"/>
                      <w:color w:val="000000"/>
                      <w:sz w:val="18"/>
                      <w:szCs w:val="20"/>
                    </w:rPr>
                  </w:pPr>
                  <w:r>
                    <w:rPr>
                      <w:rFonts w:ascii="Times New Roman" w:hAnsi="Times New Roman"/>
                      <w:color w:val="000000"/>
                      <w:sz w:val="18"/>
                      <w:szCs w:val="20"/>
                    </w:rPr>
                    <w:t>224</w:t>
                  </w:r>
                </w:p>
              </w:tc>
            </w:tr>
            <w:tr w:rsidR="0046024D" w14:paraId="33F3D81A" w14:textId="77777777" w:rsidTr="00483A8F">
              <w:tc>
                <w:tcPr>
                  <w:tcW w:w="4102" w:type="dxa"/>
                  <w:gridSpan w:val="2"/>
                  <w:tcBorders>
                    <w:top w:val="single" w:sz="4" w:space="0" w:color="000000"/>
                    <w:left w:val="single" w:sz="4" w:space="0" w:color="000000"/>
                    <w:bottom w:val="single" w:sz="4" w:space="0" w:color="000000"/>
                    <w:right w:val="single" w:sz="4" w:space="0" w:color="000000"/>
                  </w:tcBorders>
                  <w:hideMark/>
                </w:tcPr>
                <w:p w14:paraId="61DEE36C" w14:textId="77777777" w:rsidR="0046024D" w:rsidRDefault="0046024D" w:rsidP="0046024D">
                  <w:pPr>
                    <w:spacing w:after="0" w:line="240" w:lineRule="auto"/>
                    <w:jc w:val="both"/>
                    <w:rPr>
                      <w:rFonts w:ascii="Times New Roman" w:hAnsi="Times New Roman"/>
                      <w:b/>
                      <w:color w:val="000000"/>
                      <w:sz w:val="18"/>
                    </w:rPr>
                  </w:pPr>
                  <w:r>
                    <w:rPr>
                      <w:rFonts w:ascii="Times New Roman" w:hAnsi="Times New Roman"/>
                      <w:b/>
                      <w:color w:val="000000"/>
                      <w:sz w:val="18"/>
                    </w:rPr>
                    <w:t>RAZEM (bilans i pozabilans)</w:t>
                  </w:r>
                </w:p>
              </w:tc>
              <w:tc>
                <w:tcPr>
                  <w:tcW w:w="1178" w:type="dxa"/>
                  <w:tcBorders>
                    <w:top w:val="single" w:sz="4" w:space="0" w:color="000000"/>
                    <w:left w:val="single" w:sz="4" w:space="0" w:color="000000"/>
                    <w:bottom w:val="single" w:sz="4" w:space="0" w:color="000000"/>
                    <w:right w:val="single" w:sz="4" w:space="0" w:color="000000"/>
                  </w:tcBorders>
                  <w:vAlign w:val="center"/>
                  <w:hideMark/>
                </w:tcPr>
                <w:p w14:paraId="3EC79940" w14:textId="080CB4C6" w:rsidR="0046024D" w:rsidRDefault="00B60B63" w:rsidP="0046024D">
                  <w:pPr>
                    <w:spacing w:after="0" w:line="240" w:lineRule="auto"/>
                    <w:jc w:val="right"/>
                    <w:rPr>
                      <w:rFonts w:ascii="Times New Roman" w:hAnsi="Times New Roman"/>
                      <w:b/>
                      <w:color w:val="000000"/>
                      <w:sz w:val="18"/>
                    </w:rPr>
                  </w:pPr>
                  <w:r>
                    <w:rPr>
                      <w:rFonts w:ascii="Times New Roman" w:hAnsi="Times New Roman"/>
                      <w:b/>
                      <w:color w:val="000000"/>
                      <w:sz w:val="18"/>
                    </w:rPr>
                    <w:t>113 396</w:t>
                  </w:r>
                  <w:r w:rsidR="0046024D">
                    <w:rPr>
                      <w:rFonts w:ascii="Times New Roman" w:hAnsi="Times New Roman"/>
                      <w:b/>
                      <w:color w:val="000000"/>
                      <w:sz w:val="18"/>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A4EFF20" w14:textId="40DD30F2" w:rsidR="0046024D" w:rsidRDefault="00B60B63" w:rsidP="0046024D">
                  <w:pPr>
                    <w:spacing w:after="0" w:line="240" w:lineRule="auto"/>
                    <w:jc w:val="right"/>
                    <w:rPr>
                      <w:rFonts w:ascii="Times New Roman" w:hAnsi="Times New Roman"/>
                      <w:b/>
                      <w:color w:val="000000"/>
                      <w:sz w:val="18"/>
                    </w:rPr>
                  </w:pPr>
                  <w:r>
                    <w:rPr>
                      <w:rFonts w:ascii="Times New Roman" w:hAnsi="Times New Roman"/>
                      <w:b/>
                      <w:color w:val="000000"/>
                      <w:sz w:val="18"/>
                    </w:rPr>
                    <w:t>30 659</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139E1E0F" w14:textId="526C7FA3" w:rsidR="0046024D" w:rsidRDefault="00B60B63" w:rsidP="0046024D">
                  <w:pPr>
                    <w:spacing w:after="0" w:line="240" w:lineRule="auto"/>
                    <w:jc w:val="right"/>
                    <w:rPr>
                      <w:rFonts w:ascii="Times New Roman" w:hAnsi="Times New Roman"/>
                      <w:b/>
                      <w:color w:val="000000"/>
                      <w:sz w:val="18"/>
                    </w:rPr>
                  </w:pPr>
                  <w:r>
                    <w:rPr>
                      <w:rFonts w:ascii="Times New Roman" w:hAnsi="Times New Roman"/>
                      <w:b/>
                      <w:color w:val="000000"/>
                      <w:sz w:val="18"/>
                    </w:rPr>
                    <w:t>2 269</w:t>
                  </w:r>
                </w:p>
              </w:tc>
            </w:tr>
          </w:tbl>
          <w:p w14:paraId="18E60C68" w14:textId="77777777" w:rsidR="0046024D" w:rsidRDefault="0046024D" w:rsidP="0054213B">
            <w:pPr>
              <w:spacing w:after="0" w:line="240" w:lineRule="auto"/>
              <w:rPr>
                <w:rFonts w:ascii="Arial CE" w:eastAsia="Times New Roman" w:hAnsi="Arial CE" w:cs="Arial CE"/>
                <w:b/>
                <w:bCs/>
                <w:sz w:val="14"/>
                <w:szCs w:val="14"/>
                <w:lang w:eastAsia="pl-PL"/>
              </w:rPr>
            </w:pPr>
          </w:p>
          <w:p w14:paraId="4304AAB4" w14:textId="77777777" w:rsidR="000F3F7A" w:rsidRPr="0054213B" w:rsidRDefault="000F3F7A" w:rsidP="0054213B">
            <w:pPr>
              <w:spacing w:after="0" w:line="240" w:lineRule="auto"/>
              <w:rPr>
                <w:rFonts w:ascii="Arial CE" w:eastAsia="Times New Roman" w:hAnsi="Arial CE" w:cs="Arial CE"/>
                <w:b/>
                <w:bCs/>
                <w:sz w:val="14"/>
                <w:szCs w:val="14"/>
                <w:lang w:eastAsia="pl-PL"/>
              </w:rPr>
            </w:pPr>
          </w:p>
        </w:tc>
        <w:tc>
          <w:tcPr>
            <w:tcW w:w="996" w:type="dxa"/>
            <w:tcBorders>
              <w:top w:val="nil"/>
              <w:left w:val="nil"/>
              <w:bottom w:val="nil"/>
              <w:right w:val="nil"/>
            </w:tcBorders>
            <w:shd w:val="clear" w:color="auto" w:fill="auto"/>
            <w:noWrap/>
            <w:vAlign w:val="bottom"/>
            <w:hideMark/>
          </w:tcPr>
          <w:p w14:paraId="25159754" w14:textId="77777777" w:rsidR="0054213B" w:rsidRPr="0054213B" w:rsidRDefault="0054213B" w:rsidP="0054213B">
            <w:pPr>
              <w:spacing w:after="0" w:line="240" w:lineRule="auto"/>
              <w:rPr>
                <w:rFonts w:ascii="Arial CE" w:eastAsia="Times New Roman" w:hAnsi="Arial CE" w:cs="Arial CE"/>
                <w:b/>
                <w:bCs/>
                <w:sz w:val="14"/>
                <w:szCs w:val="14"/>
                <w:lang w:eastAsia="pl-PL"/>
              </w:rPr>
            </w:pPr>
          </w:p>
        </w:tc>
        <w:tc>
          <w:tcPr>
            <w:tcW w:w="960" w:type="dxa"/>
            <w:tcBorders>
              <w:top w:val="nil"/>
              <w:left w:val="nil"/>
              <w:bottom w:val="nil"/>
              <w:right w:val="nil"/>
            </w:tcBorders>
            <w:shd w:val="clear" w:color="FFFFCC" w:fill="FFFFFF"/>
            <w:noWrap/>
            <w:vAlign w:val="bottom"/>
            <w:hideMark/>
          </w:tcPr>
          <w:p w14:paraId="485B467C" w14:textId="77777777" w:rsidR="0054213B" w:rsidRPr="0054213B" w:rsidRDefault="0054213B" w:rsidP="0054213B">
            <w:pPr>
              <w:spacing w:after="0" w:line="240" w:lineRule="auto"/>
              <w:jc w:val="center"/>
              <w:rPr>
                <w:rFonts w:ascii="Arial CE" w:eastAsia="Times New Roman" w:hAnsi="Arial CE" w:cs="Arial CE"/>
                <w:sz w:val="14"/>
                <w:szCs w:val="14"/>
                <w:lang w:eastAsia="pl-PL"/>
              </w:rPr>
            </w:pPr>
            <w:r w:rsidRPr="0054213B">
              <w:rPr>
                <w:rFonts w:ascii="Arial CE" w:eastAsia="Times New Roman" w:hAnsi="Arial CE" w:cs="Arial CE"/>
                <w:sz w:val="14"/>
                <w:szCs w:val="14"/>
                <w:lang w:eastAsia="pl-PL"/>
              </w:rPr>
              <w:t> </w:t>
            </w:r>
          </w:p>
        </w:tc>
      </w:tr>
    </w:tbl>
    <w:p w14:paraId="0829CBA3" w14:textId="10B4E822" w:rsidR="00730ABC" w:rsidRDefault="00CC7BAF" w:rsidP="00730ABC">
      <w:pPr>
        <w:spacing w:after="0"/>
        <w:jc w:val="both"/>
        <w:rPr>
          <w:rFonts w:ascii="Times New Roman" w:hAnsi="Times New Roman" w:cs="Times New Roman"/>
        </w:rPr>
      </w:pPr>
      <w:r>
        <w:rPr>
          <w:rFonts w:ascii="Times New Roman" w:hAnsi="Times New Roman" w:cs="Times New Roman"/>
        </w:rPr>
        <w:t>Bank wyznacza wymóg kapitałowy z tytułu ryzyka walutowego metodą podstawową. Wymóg kapitałowy z tytułu ryzyka walutowego stanowi pomnożone przez wskaźnik wynoszący 12,5 – 8% pozycji walutowej całkowitej, jeżeli pozycja walutowa przewyższa 2% funduszy własnych Banku. Wymóg kapitałowy wynosi zero jeśli pozycja walutowa nie przekracza 2% fundus</w:t>
      </w:r>
      <w:r w:rsidR="00B60B63">
        <w:rPr>
          <w:rFonts w:ascii="Times New Roman" w:hAnsi="Times New Roman" w:cs="Times New Roman"/>
        </w:rPr>
        <w:t>zy własnych. Na dzień 31.12.2019</w:t>
      </w:r>
      <w:r>
        <w:rPr>
          <w:rFonts w:ascii="Times New Roman" w:hAnsi="Times New Roman" w:cs="Times New Roman"/>
        </w:rPr>
        <w:t>r. Bank nie utworzył wymogu kapitałowego na ryzyko walutowe.</w:t>
      </w:r>
    </w:p>
    <w:p w14:paraId="23FB0987" w14:textId="000361E7" w:rsidR="00CC7BAF" w:rsidRDefault="00CC7BAF" w:rsidP="00730ABC">
      <w:pPr>
        <w:spacing w:after="0"/>
        <w:jc w:val="both"/>
        <w:rPr>
          <w:rFonts w:ascii="Times New Roman" w:hAnsi="Times New Roman" w:cs="Times New Roman"/>
        </w:rPr>
      </w:pPr>
      <w:r>
        <w:rPr>
          <w:rFonts w:ascii="Times New Roman" w:hAnsi="Times New Roman" w:cs="Times New Roman"/>
        </w:rPr>
        <w:lastRenderedPageBreak/>
        <w:t>Bank wylicza wymóg kapitałowy z tytułu ryzyka operacyjnego według metody wskaźnika bazowego BIA. Wskaźnik stanowi pomnożoną przez 15% średnią za okres trzech lat obrotowych wyników wyliczonych jako suma następujących pozycji rachunku zysków i strat Banku:</w:t>
      </w:r>
    </w:p>
    <w:p w14:paraId="1CCF90DE" w14:textId="513DC3A9"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odsetki należne i podobne dochody;</w:t>
      </w:r>
    </w:p>
    <w:p w14:paraId="536D4BED" w14:textId="07F41ABC"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odsetki do zapłaty i podobne opłaty;</w:t>
      </w:r>
    </w:p>
    <w:p w14:paraId="3AB25ED0" w14:textId="47CFB195"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przychody z akcji i innych papierów wartościowych o stałej/zmiennej stopie dochodu;</w:t>
      </w:r>
    </w:p>
    <w:p w14:paraId="05DC6BFC" w14:textId="78640918"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należności z tytułu opłat i prowizji;</w:t>
      </w:r>
    </w:p>
    <w:p w14:paraId="30BDDDEC" w14:textId="0771861B"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koszty z tytułu opłat i prowizji;</w:t>
      </w:r>
    </w:p>
    <w:p w14:paraId="29B938E4" w14:textId="38AB7B86"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zysk netto lub strata netto z operacji finansowych;</w:t>
      </w:r>
    </w:p>
    <w:p w14:paraId="25AE9AE6" w14:textId="26426230"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pozostałe przychody operacyjne</w:t>
      </w:r>
    </w:p>
    <w:p w14:paraId="5BBD8D00" w14:textId="7D5E2118" w:rsidR="00CC7BAF" w:rsidRDefault="00CC7BAF" w:rsidP="00CC7BAF">
      <w:pPr>
        <w:spacing w:after="0"/>
        <w:jc w:val="both"/>
        <w:rPr>
          <w:rFonts w:ascii="Times New Roman" w:hAnsi="Times New Roman" w:cs="Times New Roman"/>
        </w:rPr>
      </w:pPr>
      <w:r>
        <w:rPr>
          <w:rFonts w:ascii="Times New Roman" w:hAnsi="Times New Roman" w:cs="Times New Roman"/>
        </w:rPr>
        <w:t>W wyliczeni</w:t>
      </w:r>
      <w:r w:rsidR="00AB455A">
        <w:rPr>
          <w:rFonts w:ascii="Times New Roman" w:hAnsi="Times New Roman" w:cs="Times New Roman"/>
        </w:rPr>
        <w:t>u</w:t>
      </w:r>
      <w:r>
        <w:rPr>
          <w:rFonts w:ascii="Times New Roman" w:hAnsi="Times New Roman" w:cs="Times New Roman"/>
        </w:rPr>
        <w:t xml:space="preserve"> średniej nie uwzględnia się wskaźnika który jest ujemny bądź zero.</w:t>
      </w:r>
    </w:p>
    <w:p w14:paraId="0A058D9C" w14:textId="1457FDEF" w:rsidR="00CC7BAF" w:rsidRDefault="00CC7BAF" w:rsidP="00CC7BAF">
      <w:pPr>
        <w:spacing w:after="0"/>
        <w:jc w:val="both"/>
        <w:rPr>
          <w:rFonts w:ascii="Times New Roman" w:hAnsi="Times New Roman" w:cs="Times New Roman"/>
        </w:rPr>
      </w:pPr>
      <w:r>
        <w:rPr>
          <w:rFonts w:ascii="Times New Roman" w:hAnsi="Times New Roman" w:cs="Times New Roman"/>
        </w:rPr>
        <w:t>Wymóg kapitałowy na ryzyko operacyjne na dzień 31.12.201</w:t>
      </w:r>
      <w:r w:rsidR="00B60B63">
        <w:rPr>
          <w:rFonts w:ascii="Times New Roman" w:hAnsi="Times New Roman" w:cs="Times New Roman"/>
        </w:rPr>
        <w:t>9</w:t>
      </w:r>
      <w:r>
        <w:rPr>
          <w:rFonts w:ascii="Times New Roman" w:hAnsi="Times New Roman" w:cs="Times New Roman"/>
        </w:rPr>
        <w:t xml:space="preserve"> roku wyniósł </w:t>
      </w:r>
      <w:r w:rsidR="00B60B63">
        <w:rPr>
          <w:rFonts w:ascii="Times New Roman" w:hAnsi="Times New Roman" w:cs="Times New Roman"/>
        </w:rPr>
        <w:t>494</w:t>
      </w:r>
      <w:r w:rsidR="006C2E4D">
        <w:rPr>
          <w:rFonts w:ascii="Times New Roman" w:hAnsi="Times New Roman" w:cs="Times New Roman"/>
        </w:rPr>
        <w:t xml:space="preserve"> tys. </w:t>
      </w:r>
      <w:r w:rsidR="00AB455A">
        <w:rPr>
          <w:rFonts w:ascii="Times New Roman" w:hAnsi="Times New Roman" w:cs="Times New Roman"/>
        </w:rPr>
        <w:t>Z</w:t>
      </w:r>
      <w:r w:rsidR="006C2E4D">
        <w:rPr>
          <w:rFonts w:ascii="Times New Roman" w:hAnsi="Times New Roman" w:cs="Times New Roman"/>
        </w:rPr>
        <w:t>ł</w:t>
      </w:r>
      <w:r w:rsidR="00AB455A">
        <w:rPr>
          <w:rFonts w:ascii="Times New Roman" w:hAnsi="Times New Roman" w:cs="Times New Roman"/>
        </w:rPr>
        <w:t>.</w:t>
      </w:r>
    </w:p>
    <w:p w14:paraId="0EABC643" w14:textId="77777777" w:rsidR="006C2E4D" w:rsidRDefault="006C2E4D" w:rsidP="00CC7BAF">
      <w:pPr>
        <w:spacing w:after="0"/>
        <w:jc w:val="both"/>
        <w:rPr>
          <w:rFonts w:ascii="Times New Roman" w:hAnsi="Times New Roman" w:cs="Times New Roman"/>
        </w:rPr>
      </w:pPr>
    </w:p>
    <w:p w14:paraId="4E7582AB" w14:textId="32302A3F" w:rsidR="006C2E4D" w:rsidRPr="00CC7BAF" w:rsidRDefault="006C2E4D" w:rsidP="00CC7BAF">
      <w:pPr>
        <w:spacing w:after="0"/>
        <w:jc w:val="both"/>
        <w:rPr>
          <w:rFonts w:ascii="Times New Roman" w:hAnsi="Times New Roman" w:cs="Times New Roman"/>
        </w:rPr>
      </w:pPr>
      <w:r w:rsidRPr="006C2E4D">
        <w:rPr>
          <w:rFonts w:ascii="Times New Roman" w:hAnsi="Times New Roman" w:cs="Times New Roman"/>
          <w:b/>
        </w:rPr>
        <w:t>Zestawienie wymogów kapitałowych na wszystkie zidentyfikowane ryzyka w działalności bankowej</w:t>
      </w:r>
      <w:r>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058"/>
        <w:gridCol w:w="1719"/>
        <w:gridCol w:w="1371"/>
        <w:gridCol w:w="1570"/>
      </w:tblGrid>
      <w:tr w:rsidR="006C2E4D" w:rsidRPr="006705A2" w14:paraId="20639515" w14:textId="77777777" w:rsidTr="003400E3">
        <w:tc>
          <w:tcPr>
            <w:tcW w:w="570" w:type="dxa"/>
            <w:vAlign w:val="center"/>
          </w:tcPr>
          <w:p w14:paraId="2832BE4F" w14:textId="77777777" w:rsidR="006C2E4D" w:rsidRPr="006705A2" w:rsidRDefault="006C2E4D" w:rsidP="003400E3">
            <w:pPr>
              <w:spacing w:after="0" w:line="240" w:lineRule="auto"/>
              <w:jc w:val="center"/>
              <w:rPr>
                <w:rFonts w:ascii="Times New Roman" w:hAnsi="Times New Roman"/>
                <w:b/>
                <w:color w:val="000000"/>
                <w:sz w:val="20"/>
                <w:szCs w:val="20"/>
              </w:rPr>
            </w:pPr>
            <w:r w:rsidRPr="006705A2">
              <w:rPr>
                <w:rFonts w:ascii="Times New Roman" w:hAnsi="Times New Roman"/>
                <w:b/>
                <w:color w:val="000000"/>
                <w:sz w:val="20"/>
                <w:szCs w:val="20"/>
              </w:rPr>
              <w:t>Lp.</w:t>
            </w:r>
          </w:p>
        </w:tc>
        <w:tc>
          <w:tcPr>
            <w:tcW w:w="4058" w:type="dxa"/>
            <w:vAlign w:val="center"/>
          </w:tcPr>
          <w:p w14:paraId="3DBB9F89" w14:textId="77777777" w:rsidR="006C2E4D" w:rsidRPr="006705A2" w:rsidRDefault="006C2E4D" w:rsidP="003400E3">
            <w:pPr>
              <w:spacing w:after="0" w:line="240" w:lineRule="auto"/>
              <w:jc w:val="center"/>
              <w:rPr>
                <w:rFonts w:ascii="Times New Roman" w:hAnsi="Times New Roman"/>
                <w:b/>
                <w:color w:val="000000"/>
                <w:sz w:val="20"/>
                <w:szCs w:val="20"/>
              </w:rPr>
            </w:pPr>
            <w:r w:rsidRPr="006705A2">
              <w:rPr>
                <w:rFonts w:ascii="Times New Roman" w:hAnsi="Times New Roman"/>
                <w:b/>
                <w:color w:val="000000"/>
                <w:sz w:val="20"/>
                <w:szCs w:val="20"/>
              </w:rPr>
              <w:t>Rodzaj ryzyka</w:t>
            </w:r>
          </w:p>
        </w:tc>
        <w:tc>
          <w:tcPr>
            <w:tcW w:w="1719" w:type="dxa"/>
            <w:vAlign w:val="center"/>
          </w:tcPr>
          <w:p w14:paraId="61E42582" w14:textId="77777777" w:rsidR="006C2E4D" w:rsidRPr="006705A2" w:rsidRDefault="006C2E4D" w:rsidP="003400E3">
            <w:pPr>
              <w:spacing w:after="0" w:line="240" w:lineRule="auto"/>
              <w:jc w:val="center"/>
              <w:rPr>
                <w:rFonts w:ascii="Times New Roman" w:hAnsi="Times New Roman"/>
                <w:b/>
                <w:color w:val="000000"/>
                <w:sz w:val="20"/>
                <w:szCs w:val="20"/>
              </w:rPr>
            </w:pPr>
            <w:r w:rsidRPr="006705A2">
              <w:rPr>
                <w:rFonts w:ascii="Times New Roman" w:hAnsi="Times New Roman"/>
                <w:b/>
                <w:color w:val="000000"/>
                <w:sz w:val="20"/>
                <w:szCs w:val="20"/>
              </w:rPr>
              <w:t>Łączny kapitał na zabezpieczenie ryzyka</w:t>
            </w:r>
          </w:p>
        </w:tc>
        <w:tc>
          <w:tcPr>
            <w:tcW w:w="1371" w:type="dxa"/>
            <w:vAlign w:val="center"/>
          </w:tcPr>
          <w:p w14:paraId="087FC4CC" w14:textId="77777777" w:rsidR="006C2E4D" w:rsidRPr="006705A2" w:rsidRDefault="006C2E4D" w:rsidP="003400E3">
            <w:pPr>
              <w:spacing w:after="0" w:line="240" w:lineRule="auto"/>
              <w:jc w:val="center"/>
              <w:rPr>
                <w:rFonts w:ascii="Times New Roman" w:hAnsi="Times New Roman"/>
                <w:b/>
                <w:color w:val="000000"/>
                <w:sz w:val="20"/>
                <w:szCs w:val="20"/>
              </w:rPr>
            </w:pPr>
            <w:r w:rsidRPr="006705A2">
              <w:rPr>
                <w:rFonts w:ascii="Times New Roman" w:hAnsi="Times New Roman"/>
                <w:b/>
                <w:color w:val="000000"/>
                <w:sz w:val="20"/>
                <w:szCs w:val="20"/>
              </w:rPr>
              <w:t>Alokacja kapitału – wymogi minimalne</w:t>
            </w:r>
          </w:p>
        </w:tc>
        <w:tc>
          <w:tcPr>
            <w:tcW w:w="1570" w:type="dxa"/>
            <w:vAlign w:val="center"/>
          </w:tcPr>
          <w:p w14:paraId="28AD6E0C" w14:textId="77777777" w:rsidR="006C2E4D" w:rsidRPr="006705A2" w:rsidRDefault="006C2E4D" w:rsidP="003400E3">
            <w:pPr>
              <w:spacing w:after="0" w:line="240" w:lineRule="auto"/>
              <w:jc w:val="center"/>
              <w:rPr>
                <w:rFonts w:ascii="Times New Roman" w:hAnsi="Times New Roman"/>
                <w:b/>
                <w:color w:val="000000"/>
                <w:sz w:val="20"/>
                <w:szCs w:val="20"/>
              </w:rPr>
            </w:pPr>
            <w:r w:rsidRPr="006705A2">
              <w:rPr>
                <w:rFonts w:ascii="Times New Roman" w:hAnsi="Times New Roman"/>
                <w:b/>
                <w:color w:val="000000"/>
                <w:sz w:val="20"/>
                <w:szCs w:val="20"/>
              </w:rPr>
              <w:t>Alokacja kapitału – wymogi dodatkowe</w:t>
            </w:r>
          </w:p>
        </w:tc>
      </w:tr>
      <w:tr w:rsidR="006C2E4D" w:rsidRPr="006705A2" w14:paraId="5088D471" w14:textId="77777777" w:rsidTr="003400E3">
        <w:tc>
          <w:tcPr>
            <w:tcW w:w="570" w:type="dxa"/>
          </w:tcPr>
          <w:p w14:paraId="275B0E7D"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1</w:t>
            </w:r>
          </w:p>
        </w:tc>
        <w:tc>
          <w:tcPr>
            <w:tcW w:w="4058" w:type="dxa"/>
          </w:tcPr>
          <w:p w14:paraId="6B478C4D"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Ryzyko kredytowe</w:t>
            </w:r>
          </w:p>
        </w:tc>
        <w:tc>
          <w:tcPr>
            <w:tcW w:w="1719" w:type="dxa"/>
          </w:tcPr>
          <w:p w14:paraId="32DE5D56" w14:textId="612EF4A5" w:rsidR="006C2E4D" w:rsidRPr="006705A2" w:rsidRDefault="00B60B63"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2 269</w:t>
            </w:r>
            <w:r w:rsidR="006C2E4D" w:rsidRPr="006705A2">
              <w:rPr>
                <w:rFonts w:ascii="Times New Roman" w:hAnsi="Times New Roman"/>
                <w:color w:val="000000"/>
                <w:sz w:val="20"/>
                <w:szCs w:val="20"/>
              </w:rPr>
              <w:t xml:space="preserve"> </w:t>
            </w:r>
          </w:p>
        </w:tc>
        <w:tc>
          <w:tcPr>
            <w:tcW w:w="1371" w:type="dxa"/>
          </w:tcPr>
          <w:p w14:paraId="17AF6D5C" w14:textId="0F93861B" w:rsidR="006C2E4D" w:rsidRPr="006705A2" w:rsidRDefault="00B60B63"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2 269</w:t>
            </w:r>
          </w:p>
        </w:tc>
        <w:tc>
          <w:tcPr>
            <w:tcW w:w="1570" w:type="dxa"/>
          </w:tcPr>
          <w:p w14:paraId="40030FFB"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X</w:t>
            </w:r>
          </w:p>
        </w:tc>
      </w:tr>
      <w:tr w:rsidR="006C2E4D" w:rsidRPr="006705A2" w14:paraId="2D1C9659" w14:textId="77777777" w:rsidTr="003400E3">
        <w:tc>
          <w:tcPr>
            <w:tcW w:w="570" w:type="dxa"/>
          </w:tcPr>
          <w:p w14:paraId="2C4ADF19"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2</w:t>
            </w:r>
          </w:p>
        </w:tc>
        <w:tc>
          <w:tcPr>
            <w:tcW w:w="4058" w:type="dxa"/>
          </w:tcPr>
          <w:p w14:paraId="4F5D9913"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Ryzyko z tytułu przekroczenia progu koncentracji kapitałowej</w:t>
            </w:r>
          </w:p>
        </w:tc>
        <w:tc>
          <w:tcPr>
            <w:tcW w:w="1719" w:type="dxa"/>
          </w:tcPr>
          <w:p w14:paraId="54C64352"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c>
          <w:tcPr>
            <w:tcW w:w="1371" w:type="dxa"/>
          </w:tcPr>
          <w:p w14:paraId="55117D53"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c>
          <w:tcPr>
            <w:tcW w:w="1570" w:type="dxa"/>
          </w:tcPr>
          <w:p w14:paraId="1B01BF82"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X</w:t>
            </w:r>
          </w:p>
        </w:tc>
      </w:tr>
      <w:tr w:rsidR="006C2E4D" w:rsidRPr="006705A2" w14:paraId="3B8A0C67" w14:textId="77777777" w:rsidTr="003400E3">
        <w:tc>
          <w:tcPr>
            <w:tcW w:w="570" w:type="dxa"/>
          </w:tcPr>
          <w:p w14:paraId="3CC0B00B"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3</w:t>
            </w:r>
          </w:p>
        </w:tc>
        <w:tc>
          <w:tcPr>
            <w:tcW w:w="4058" w:type="dxa"/>
          </w:tcPr>
          <w:p w14:paraId="472E7C6C"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Ryzyko walutowe</w:t>
            </w:r>
          </w:p>
        </w:tc>
        <w:tc>
          <w:tcPr>
            <w:tcW w:w="1719" w:type="dxa"/>
          </w:tcPr>
          <w:p w14:paraId="5D6820B0"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c>
          <w:tcPr>
            <w:tcW w:w="1371" w:type="dxa"/>
          </w:tcPr>
          <w:p w14:paraId="7EBAD786"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c>
          <w:tcPr>
            <w:tcW w:w="1570" w:type="dxa"/>
          </w:tcPr>
          <w:p w14:paraId="60EB3CD8"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X</w:t>
            </w:r>
          </w:p>
        </w:tc>
      </w:tr>
      <w:tr w:rsidR="006C2E4D" w:rsidRPr="006705A2" w14:paraId="3D9C9483" w14:textId="77777777" w:rsidTr="003400E3">
        <w:tc>
          <w:tcPr>
            <w:tcW w:w="570" w:type="dxa"/>
          </w:tcPr>
          <w:p w14:paraId="3A0A8E68"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4</w:t>
            </w:r>
          </w:p>
        </w:tc>
        <w:tc>
          <w:tcPr>
            <w:tcW w:w="4058" w:type="dxa"/>
          </w:tcPr>
          <w:p w14:paraId="4205EE18"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Ryzyko operacyjne</w:t>
            </w:r>
          </w:p>
        </w:tc>
        <w:tc>
          <w:tcPr>
            <w:tcW w:w="1719" w:type="dxa"/>
          </w:tcPr>
          <w:p w14:paraId="788BDF0A" w14:textId="0EECB14B" w:rsidR="006C2E4D" w:rsidRPr="006705A2" w:rsidRDefault="00B60B63"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494</w:t>
            </w:r>
          </w:p>
        </w:tc>
        <w:tc>
          <w:tcPr>
            <w:tcW w:w="1371" w:type="dxa"/>
          </w:tcPr>
          <w:p w14:paraId="28F8780C" w14:textId="070CE7BA" w:rsidR="006C2E4D" w:rsidRPr="006705A2" w:rsidRDefault="00B60B63"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494</w:t>
            </w:r>
          </w:p>
        </w:tc>
        <w:tc>
          <w:tcPr>
            <w:tcW w:w="1570" w:type="dxa"/>
          </w:tcPr>
          <w:p w14:paraId="5F22301C"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X</w:t>
            </w:r>
          </w:p>
        </w:tc>
      </w:tr>
      <w:tr w:rsidR="006C2E4D" w:rsidRPr="006705A2" w14:paraId="5DEE070B" w14:textId="77777777" w:rsidTr="003400E3">
        <w:tc>
          <w:tcPr>
            <w:tcW w:w="570" w:type="dxa"/>
          </w:tcPr>
          <w:p w14:paraId="3AFA4679" w14:textId="77777777" w:rsidR="006C2E4D" w:rsidRPr="006705A2" w:rsidRDefault="006C2E4D" w:rsidP="003400E3">
            <w:pPr>
              <w:spacing w:after="0" w:line="240" w:lineRule="auto"/>
              <w:jc w:val="both"/>
              <w:rPr>
                <w:rFonts w:ascii="Times New Roman" w:hAnsi="Times New Roman"/>
                <w:b/>
                <w:color w:val="000000"/>
                <w:sz w:val="20"/>
                <w:szCs w:val="20"/>
              </w:rPr>
            </w:pPr>
            <w:r w:rsidRPr="006705A2">
              <w:rPr>
                <w:rFonts w:ascii="Times New Roman" w:hAnsi="Times New Roman"/>
                <w:b/>
                <w:color w:val="000000"/>
                <w:sz w:val="20"/>
                <w:szCs w:val="20"/>
              </w:rPr>
              <w:t>5</w:t>
            </w:r>
          </w:p>
        </w:tc>
        <w:tc>
          <w:tcPr>
            <w:tcW w:w="4058" w:type="dxa"/>
          </w:tcPr>
          <w:p w14:paraId="2E6E647A" w14:textId="77777777" w:rsidR="006C2E4D" w:rsidRPr="006705A2" w:rsidRDefault="006C2E4D" w:rsidP="003400E3">
            <w:pPr>
              <w:spacing w:after="0" w:line="240" w:lineRule="auto"/>
              <w:jc w:val="both"/>
              <w:rPr>
                <w:rFonts w:ascii="Times New Roman" w:hAnsi="Times New Roman"/>
                <w:b/>
                <w:color w:val="000000"/>
                <w:sz w:val="20"/>
                <w:szCs w:val="20"/>
              </w:rPr>
            </w:pPr>
            <w:r w:rsidRPr="006705A2">
              <w:rPr>
                <w:rFonts w:ascii="Times New Roman" w:hAnsi="Times New Roman"/>
                <w:b/>
                <w:color w:val="000000"/>
                <w:sz w:val="20"/>
                <w:szCs w:val="20"/>
              </w:rPr>
              <w:t>Minimalne wymogi kapitałowe</w:t>
            </w:r>
          </w:p>
        </w:tc>
        <w:tc>
          <w:tcPr>
            <w:tcW w:w="1719" w:type="dxa"/>
          </w:tcPr>
          <w:p w14:paraId="5C1171F6" w14:textId="66A96B45" w:rsidR="006C2E4D" w:rsidRPr="006705A2" w:rsidRDefault="00B60B63" w:rsidP="003400E3">
            <w:pPr>
              <w:spacing w:after="0" w:line="240" w:lineRule="auto"/>
              <w:jc w:val="right"/>
              <w:rPr>
                <w:rFonts w:ascii="Times New Roman" w:hAnsi="Times New Roman"/>
                <w:b/>
                <w:color w:val="000000"/>
                <w:sz w:val="20"/>
                <w:szCs w:val="20"/>
              </w:rPr>
            </w:pPr>
            <w:r w:rsidRPr="006705A2">
              <w:rPr>
                <w:rFonts w:ascii="Times New Roman" w:hAnsi="Times New Roman"/>
                <w:b/>
                <w:color w:val="000000"/>
                <w:sz w:val="20"/>
                <w:szCs w:val="20"/>
              </w:rPr>
              <w:t>2 762</w:t>
            </w:r>
          </w:p>
        </w:tc>
        <w:tc>
          <w:tcPr>
            <w:tcW w:w="1371" w:type="dxa"/>
          </w:tcPr>
          <w:p w14:paraId="244DDBD0" w14:textId="24A4D36E" w:rsidR="006C2E4D" w:rsidRPr="006705A2" w:rsidRDefault="00B60B63" w:rsidP="003400E3">
            <w:pPr>
              <w:spacing w:after="0" w:line="240" w:lineRule="auto"/>
              <w:jc w:val="right"/>
              <w:rPr>
                <w:rFonts w:ascii="Times New Roman" w:hAnsi="Times New Roman"/>
                <w:b/>
                <w:color w:val="000000"/>
                <w:sz w:val="20"/>
                <w:szCs w:val="20"/>
              </w:rPr>
            </w:pPr>
            <w:r w:rsidRPr="006705A2">
              <w:rPr>
                <w:rFonts w:ascii="Times New Roman" w:hAnsi="Times New Roman"/>
                <w:b/>
                <w:color w:val="000000"/>
                <w:sz w:val="20"/>
                <w:szCs w:val="20"/>
              </w:rPr>
              <w:t>2 762</w:t>
            </w:r>
          </w:p>
        </w:tc>
        <w:tc>
          <w:tcPr>
            <w:tcW w:w="1570" w:type="dxa"/>
          </w:tcPr>
          <w:p w14:paraId="59F66E30" w14:textId="77777777" w:rsidR="006C2E4D" w:rsidRPr="006705A2" w:rsidRDefault="006C2E4D" w:rsidP="003400E3">
            <w:pPr>
              <w:spacing w:after="0" w:line="240" w:lineRule="auto"/>
              <w:jc w:val="right"/>
              <w:rPr>
                <w:rFonts w:ascii="Times New Roman" w:hAnsi="Times New Roman"/>
                <w:b/>
                <w:color w:val="000000"/>
                <w:sz w:val="20"/>
                <w:szCs w:val="20"/>
              </w:rPr>
            </w:pPr>
            <w:r w:rsidRPr="006705A2">
              <w:rPr>
                <w:rFonts w:ascii="Times New Roman" w:hAnsi="Times New Roman"/>
                <w:b/>
                <w:color w:val="000000"/>
                <w:sz w:val="20"/>
                <w:szCs w:val="20"/>
              </w:rPr>
              <w:t>X</w:t>
            </w:r>
          </w:p>
        </w:tc>
      </w:tr>
      <w:tr w:rsidR="006C2E4D" w:rsidRPr="006705A2" w14:paraId="7C3BA412" w14:textId="77777777" w:rsidTr="003400E3">
        <w:tc>
          <w:tcPr>
            <w:tcW w:w="570" w:type="dxa"/>
          </w:tcPr>
          <w:p w14:paraId="0F912883"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6</w:t>
            </w:r>
          </w:p>
        </w:tc>
        <w:tc>
          <w:tcPr>
            <w:tcW w:w="4058" w:type="dxa"/>
          </w:tcPr>
          <w:p w14:paraId="4ECBD233"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Ryzyko koncentracji zaangażowań w sektor gospodarki</w:t>
            </w:r>
          </w:p>
        </w:tc>
        <w:tc>
          <w:tcPr>
            <w:tcW w:w="1719" w:type="dxa"/>
          </w:tcPr>
          <w:p w14:paraId="7C4BD999"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c>
          <w:tcPr>
            <w:tcW w:w="1371" w:type="dxa"/>
          </w:tcPr>
          <w:p w14:paraId="04E7B214"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X</w:t>
            </w:r>
          </w:p>
        </w:tc>
        <w:tc>
          <w:tcPr>
            <w:tcW w:w="1570" w:type="dxa"/>
          </w:tcPr>
          <w:p w14:paraId="47A76788"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r>
      <w:tr w:rsidR="006C2E4D" w:rsidRPr="006705A2" w14:paraId="6CBE6728" w14:textId="77777777" w:rsidTr="003400E3">
        <w:tc>
          <w:tcPr>
            <w:tcW w:w="570" w:type="dxa"/>
          </w:tcPr>
          <w:p w14:paraId="17123450"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7</w:t>
            </w:r>
          </w:p>
        </w:tc>
        <w:tc>
          <w:tcPr>
            <w:tcW w:w="4058" w:type="dxa"/>
          </w:tcPr>
          <w:p w14:paraId="306D9896"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Ryzyko koncentracji przyjętych form zabezpieczenia</w:t>
            </w:r>
          </w:p>
        </w:tc>
        <w:tc>
          <w:tcPr>
            <w:tcW w:w="1719" w:type="dxa"/>
          </w:tcPr>
          <w:p w14:paraId="77837CD1" w14:textId="2F82CE97" w:rsidR="006C2E4D" w:rsidRPr="006705A2" w:rsidRDefault="00B60B63"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59</w:t>
            </w:r>
          </w:p>
        </w:tc>
        <w:tc>
          <w:tcPr>
            <w:tcW w:w="1371" w:type="dxa"/>
          </w:tcPr>
          <w:p w14:paraId="0A586553" w14:textId="48DD1D48" w:rsidR="006C2E4D" w:rsidRPr="006705A2" w:rsidRDefault="00B60B63"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59</w:t>
            </w:r>
          </w:p>
        </w:tc>
        <w:tc>
          <w:tcPr>
            <w:tcW w:w="1570" w:type="dxa"/>
          </w:tcPr>
          <w:p w14:paraId="7C33DD51"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r>
      <w:tr w:rsidR="006C2E4D" w:rsidRPr="006705A2" w14:paraId="3CD605E0" w14:textId="77777777" w:rsidTr="003400E3">
        <w:tc>
          <w:tcPr>
            <w:tcW w:w="570" w:type="dxa"/>
          </w:tcPr>
          <w:p w14:paraId="5F8857C0"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8</w:t>
            </w:r>
          </w:p>
        </w:tc>
        <w:tc>
          <w:tcPr>
            <w:tcW w:w="4058" w:type="dxa"/>
          </w:tcPr>
          <w:p w14:paraId="0C9B4216"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Ryzyko płynności</w:t>
            </w:r>
          </w:p>
        </w:tc>
        <w:tc>
          <w:tcPr>
            <w:tcW w:w="1719" w:type="dxa"/>
          </w:tcPr>
          <w:p w14:paraId="3B42F798"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c>
          <w:tcPr>
            <w:tcW w:w="1371" w:type="dxa"/>
          </w:tcPr>
          <w:p w14:paraId="13216580"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X</w:t>
            </w:r>
          </w:p>
        </w:tc>
        <w:tc>
          <w:tcPr>
            <w:tcW w:w="1570" w:type="dxa"/>
          </w:tcPr>
          <w:p w14:paraId="033FACD4"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r>
      <w:tr w:rsidR="006C2E4D" w:rsidRPr="006705A2" w14:paraId="5E84B2AA" w14:textId="77777777" w:rsidTr="003400E3">
        <w:tc>
          <w:tcPr>
            <w:tcW w:w="570" w:type="dxa"/>
          </w:tcPr>
          <w:p w14:paraId="79AC3971"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9</w:t>
            </w:r>
          </w:p>
        </w:tc>
        <w:tc>
          <w:tcPr>
            <w:tcW w:w="4058" w:type="dxa"/>
          </w:tcPr>
          <w:p w14:paraId="5F249770"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 xml:space="preserve">Ryzyko stopy procentowej </w:t>
            </w:r>
          </w:p>
        </w:tc>
        <w:tc>
          <w:tcPr>
            <w:tcW w:w="1719" w:type="dxa"/>
          </w:tcPr>
          <w:p w14:paraId="19D29967"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c>
          <w:tcPr>
            <w:tcW w:w="1371" w:type="dxa"/>
          </w:tcPr>
          <w:p w14:paraId="3F53C59B"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X</w:t>
            </w:r>
          </w:p>
        </w:tc>
        <w:tc>
          <w:tcPr>
            <w:tcW w:w="1570" w:type="dxa"/>
          </w:tcPr>
          <w:p w14:paraId="0BD0A633" w14:textId="4F8F86EC" w:rsidR="006C2E4D" w:rsidRPr="006705A2" w:rsidRDefault="00B60B63"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r>
      <w:tr w:rsidR="006C2E4D" w:rsidRPr="006705A2" w14:paraId="78DFE871" w14:textId="77777777" w:rsidTr="003400E3">
        <w:tc>
          <w:tcPr>
            <w:tcW w:w="570" w:type="dxa"/>
          </w:tcPr>
          <w:p w14:paraId="23C7102E"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10</w:t>
            </w:r>
          </w:p>
        </w:tc>
        <w:tc>
          <w:tcPr>
            <w:tcW w:w="4058" w:type="dxa"/>
          </w:tcPr>
          <w:p w14:paraId="26C4882F" w14:textId="77777777" w:rsidR="006C2E4D" w:rsidRPr="006705A2" w:rsidRDefault="006C2E4D" w:rsidP="003400E3">
            <w:pPr>
              <w:spacing w:after="0" w:line="240" w:lineRule="auto"/>
              <w:jc w:val="both"/>
              <w:rPr>
                <w:rFonts w:ascii="Times New Roman" w:hAnsi="Times New Roman"/>
                <w:color w:val="000000"/>
                <w:sz w:val="20"/>
                <w:szCs w:val="20"/>
              </w:rPr>
            </w:pPr>
            <w:r w:rsidRPr="006705A2">
              <w:rPr>
                <w:rFonts w:ascii="Times New Roman" w:hAnsi="Times New Roman"/>
                <w:color w:val="000000"/>
                <w:sz w:val="20"/>
                <w:szCs w:val="20"/>
              </w:rPr>
              <w:t>Ryzyka trudno mierzalne</w:t>
            </w:r>
          </w:p>
        </w:tc>
        <w:tc>
          <w:tcPr>
            <w:tcW w:w="1719" w:type="dxa"/>
          </w:tcPr>
          <w:p w14:paraId="5CA933E3"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c>
          <w:tcPr>
            <w:tcW w:w="1371" w:type="dxa"/>
          </w:tcPr>
          <w:p w14:paraId="623869DF"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X</w:t>
            </w:r>
          </w:p>
        </w:tc>
        <w:tc>
          <w:tcPr>
            <w:tcW w:w="1570" w:type="dxa"/>
          </w:tcPr>
          <w:p w14:paraId="29428B1F" w14:textId="77777777" w:rsidR="006C2E4D" w:rsidRPr="006705A2" w:rsidRDefault="006C2E4D" w:rsidP="003400E3">
            <w:pPr>
              <w:spacing w:after="0" w:line="240" w:lineRule="auto"/>
              <w:jc w:val="right"/>
              <w:rPr>
                <w:rFonts w:ascii="Times New Roman" w:hAnsi="Times New Roman"/>
                <w:color w:val="000000"/>
                <w:sz w:val="20"/>
                <w:szCs w:val="20"/>
              </w:rPr>
            </w:pPr>
            <w:r w:rsidRPr="006705A2">
              <w:rPr>
                <w:rFonts w:ascii="Times New Roman" w:hAnsi="Times New Roman"/>
                <w:color w:val="000000"/>
                <w:sz w:val="20"/>
                <w:szCs w:val="20"/>
              </w:rPr>
              <w:t>0</w:t>
            </w:r>
          </w:p>
        </w:tc>
      </w:tr>
      <w:tr w:rsidR="006C2E4D" w:rsidRPr="006705A2" w14:paraId="47DDE384" w14:textId="77777777" w:rsidTr="003400E3">
        <w:tc>
          <w:tcPr>
            <w:tcW w:w="570" w:type="dxa"/>
          </w:tcPr>
          <w:p w14:paraId="40E5427E" w14:textId="77777777" w:rsidR="006C2E4D" w:rsidRPr="006705A2" w:rsidRDefault="006C2E4D" w:rsidP="003400E3">
            <w:pPr>
              <w:spacing w:after="0" w:line="240" w:lineRule="auto"/>
              <w:jc w:val="both"/>
              <w:rPr>
                <w:rFonts w:ascii="Times New Roman" w:hAnsi="Times New Roman"/>
                <w:b/>
                <w:color w:val="000000"/>
                <w:sz w:val="20"/>
                <w:szCs w:val="20"/>
              </w:rPr>
            </w:pPr>
            <w:r w:rsidRPr="006705A2">
              <w:rPr>
                <w:rFonts w:ascii="Times New Roman" w:hAnsi="Times New Roman"/>
                <w:b/>
                <w:color w:val="000000"/>
                <w:sz w:val="20"/>
                <w:szCs w:val="20"/>
              </w:rPr>
              <w:t>11</w:t>
            </w:r>
          </w:p>
        </w:tc>
        <w:tc>
          <w:tcPr>
            <w:tcW w:w="4058" w:type="dxa"/>
          </w:tcPr>
          <w:p w14:paraId="3634B6F6" w14:textId="77777777" w:rsidR="006C2E4D" w:rsidRPr="006705A2" w:rsidRDefault="006C2E4D" w:rsidP="003400E3">
            <w:pPr>
              <w:spacing w:after="0" w:line="240" w:lineRule="auto"/>
              <w:jc w:val="both"/>
              <w:rPr>
                <w:rFonts w:ascii="Times New Roman" w:hAnsi="Times New Roman"/>
                <w:b/>
                <w:color w:val="000000"/>
                <w:sz w:val="20"/>
                <w:szCs w:val="20"/>
              </w:rPr>
            </w:pPr>
            <w:r w:rsidRPr="006705A2">
              <w:rPr>
                <w:rFonts w:ascii="Times New Roman" w:hAnsi="Times New Roman"/>
                <w:b/>
                <w:color w:val="000000"/>
                <w:sz w:val="20"/>
                <w:szCs w:val="20"/>
              </w:rPr>
              <w:t>Dodatkowe wymogi kapitałowe</w:t>
            </w:r>
          </w:p>
        </w:tc>
        <w:tc>
          <w:tcPr>
            <w:tcW w:w="1719" w:type="dxa"/>
          </w:tcPr>
          <w:p w14:paraId="1F5BD762" w14:textId="46AF7842" w:rsidR="006C2E4D" w:rsidRPr="006705A2" w:rsidRDefault="00B60B63" w:rsidP="003400E3">
            <w:pPr>
              <w:spacing w:after="0" w:line="240" w:lineRule="auto"/>
              <w:jc w:val="right"/>
              <w:rPr>
                <w:rFonts w:ascii="Times New Roman" w:hAnsi="Times New Roman"/>
                <w:b/>
                <w:color w:val="000000"/>
                <w:sz w:val="20"/>
                <w:szCs w:val="20"/>
              </w:rPr>
            </w:pPr>
            <w:r w:rsidRPr="006705A2">
              <w:rPr>
                <w:rFonts w:ascii="Times New Roman" w:hAnsi="Times New Roman"/>
                <w:b/>
                <w:color w:val="000000"/>
                <w:sz w:val="20"/>
                <w:szCs w:val="20"/>
              </w:rPr>
              <w:t>59</w:t>
            </w:r>
          </w:p>
        </w:tc>
        <w:tc>
          <w:tcPr>
            <w:tcW w:w="1371" w:type="dxa"/>
          </w:tcPr>
          <w:p w14:paraId="2162802D" w14:textId="0207D51E" w:rsidR="006C2E4D" w:rsidRPr="006705A2" w:rsidRDefault="00B60B63" w:rsidP="003400E3">
            <w:pPr>
              <w:spacing w:after="0" w:line="240" w:lineRule="auto"/>
              <w:jc w:val="right"/>
              <w:rPr>
                <w:rFonts w:ascii="Times New Roman" w:hAnsi="Times New Roman"/>
                <w:b/>
                <w:color w:val="000000"/>
                <w:sz w:val="20"/>
                <w:szCs w:val="20"/>
              </w:rPr>
            </w:pPr>
            <w:r w:rsidRPr="006705A2">
              <w:rPr>
                <w:rFonts w:ascii="Times New Roman" w:hAnsi="Times New Roman"/>
                <w:b/>
                <w:color w:val="000000"/>
                <w:sz w:val="20"/>
                <w:szCs w:val="20"/>
              </w:rPr>
              <w:t>59</w:t>
            </w:r>
          </w:p>
        </w:tc>
        <w:tc>
          <w:tcPr>
            <w:tcW w:w="1570" w:type="dxa"/>
          </w:tcPr>
          <w:p w14:paraId="5ADC1351" w14:textId="09F95AE4" w:rsidR="006C2E4D" w:rsidRPr="006705A2" w:rsidRDefault="00B60B63" w:rsidP="003400E3">
            <w:pPr>
              <w:spacing w:after="0" w:line="240" w:lineRule="auto"/>
              <w:jc w:val="right"/>
              <w:rPr>
                <w:rFonts w:ascii="Times New Roman" w:hAnsi="Times New Roman"/>
                <w:b/>
                <w:color w:val="000000"/>
                <w:sz w:val="20"/>
                <w:szCs w:val="20"/>
              </w:rPr>
            </w:pPr>
            <w:r w:rsidRPr="006705A2">
              <w:rPr>
                <w:rFonts w:ascii="Times New Roman" w:hAnsi="Times New Roman"/>
                <w:b/>
                <w:color w:val="000000"/>
                <w:sz w:val="20"/>
                <w:szCs w:val="20"/>
              </w:rPr>
              <w:t>0</w:t>
            </w:r>
          </w:p>
        </w:tc>
      </w:tr>
      <w:tr w:rsidR="006C2E4D" w:rsidRPr="006705A2" w14:paraId="5B8A9C86" w14:textId="77777777" w:rsidTr="003400E3">
        <w:tc>
          <w:tcPr>
            <w:tcW w:w="570" w:type="dxa"/>
          </w:tcPr>
          <w:p w14:paraId="266E17AC" w14:textId="77777777" w:rsidR="006C2E4D" w:rsidRPr="006705A2" w:rsidRDefault="006C2E4D" w:rsidP="003400E3">
            <w:pPr>
              <w:spacing w:after="0" w:line="240" w:lineRule="auto"/>
              <w:jc w:val="both"/>
              <w:rPr>
                <w:rFonts w:ascii="Times New Roman" w:hAnsi="Times New Roman"/>
                <w:b/>
                <w:color w:val="000000"/>
                <w:sz w:val="20"/>
                <w:szCs w:val="20"/>
              </w:rPr>
            </w:pPr>
            <w:r w:rsidRPr="006705A2">
              <w:rPr>
                <w:rFonts w:ascii="Times New Roman" w:hAnsi="Times New Roman"/>
                <w:b/>
                <w:color w:val="000000"/>
                <w:sz w:val="20"/>
                <w:szCs w:val="20"/>
              </w:rPr>
              <w:t>12</w:t>
            </w:r>
          </w:p>
        </w:tc>
        <w:tc>
          <w:tcPr>
            <w:tcW w:w="4058" w:type="dxa"/>
          </w:tcPr>
          <w:p w14:paraId="688ED75B" w14:textId="77777777" w:rsidR="006C2E4D" w:rsidRPr="006705A2" w:rsidRDefault="006C2E4D" w:rsidP="003400E3">
            <w:pPr>
              <w:spacing w:after="0" w:line="240" w:lineRule="auto"/>
              <w:rPr>
                <w:rFonts w:ascii="Times New Roman" w:hAnsi="Times New Roman"/>
                <w:b/>
                <w:color w:val="000000"/>
                <w:sz w:val="20"/>
                <w:szCs w:val="20"/>
              </w:rPr>
            </w:pPr>
            <w:r w:rsidRPr="006705A2">
              <w:rPr>
                <w:rFonts w:ascii="Times New Roman" w:hAnsi="Times New Roman"/>
                <w:b/>
                <w:color w:val="000000"/>
                <w:sz w:val="20"/>
                <w:szCs w:val="20"/>
              </w:rPr>
              <w:t>ŁĄCZNY WSPÓŁCZYNNIK KAPITAŁOWY</w:t>
            </w:r>
          </w:p>
        </w:tc>
        <w:tc>
          <w:tcPr>
            <w:tcW w:w="4660" w:type="dxa"/>
            <w:gridSpan w:val="3"/>
          </w:tcPr>
          <w:p w14:paraId="4AE8AEE6" w14:textId="685ACE49" w:rsidR="006C2E4D" w:rsidRPr="006705A2" w:rsidRDefault="00B60B63" w:rsidP="003400E3">
            <w:pPr>
              <w:spacing w:after="0" w:line="240" w:lineRule="auto"/>
              <w:jc w:val="center"/>
              <w:rPr>
                <w:rFonts w:ascii="Times New Roman" w:hAnsi="Times New Roman"/>
                <w:b/>
                <w:color w:val="000000"/>
                <w:sz w:val="20"/>
                <w:szCs w:val="20"/>
              </w:rPr>
            </w:pPr>
            <w:r w:rsidRPr="006705A2">
              <w:rPr>
                <w:rFonts w:ascii="Times New Roman" w:hAnsi="Times New Roman"/>
                <w:b/>
                <w:color w:val="000000"/>
                <w:sz w:val="20"/>
                <w:szCs w:val="20"/>
              </w:rPr>
              <w:t>15,73</w:t>
            </w:r>
          </w:p>
        </w:tc>
      </w:tr>
      <w:tr w:rsidR="006C2E4D" w:rsidRPr="006705A2" w14:paraId="7D369927" w14:textId="77777777" w:rsidTr="003400E3">
        <w:tc>
          <w:tcPr>
            <w:tcW w:w="570" w:type="dxa"/>
          </w:tcPr>
          <w:p w14:paraId="6FA39AE4" w14:textId="77777777" w:rsidR="006C2E4D" w:rsidRPr="006705A2" w:rsidRDefault="006C2E4D" w:rsidP="003400E3">
            <w:pPr>
              <w:spacing w:after="0" w:line="240" w:lineRule="auto"/>
              <w:jc w:val="both"/>
              <w:rPr>
                <w:rFonts w:ascii="Times New Roman" w:hAnsi="Times New Roman"/>
                <w:b/>
                <w:color w:val="000000"/>
                <w:sz w:val="20"/>
                <w:szCs w:val="20"/>
              </w:rPr>
            </w:pPr>
            <w:r w:rsidRPr="006705A2">
              <w:rPr>
                <w:rFonts w:ascii="Times New Roman" w:hAnsi="Times New Roman"/>
                <w:b/>
                <w:color w:val="000000"/>
                <w:sz w:val="20"/>
                <w:szCs w:val="20"/>
              </w:rPr>
              <w:t>13</w:t>
            </w:r>
          </w:p>
        </w:tc>
        <w:tc>
          <w:tcPr>
            <w:tcW w:w="4058" w:type="dxa"/>
          </w:tcPr>
          <w:p w14:paraId="727A1157" w14:textId="77777777" w:rsidR="006C2E4D" w:rsidRPr="006705A2" w:rsidRDefault="006C2E4D" w:rsidP="003400E3">
            <w:pPr>
              <w:spacing w:after="0" w:line="240" w:lineRule="auto"/>
              <w:rPr>
                <w:rFonts w:ascii="Times New Roman" w:hAnsi="Times New Roman"/>
                <w:b/>
                <w:color w:val="000000"/>
                <w:sz w:val="20"/>
                <w:szCs w:val="20"/>
              </w:rPr>
            </w:pPr>
            <w:r w:rsidRPr="006705A2">
              <w:rPr>
                <w:rFonts w:ascii="Times New Roman" w:hAnsi="Times New Roman"/>
                <w:b/>
                <w:color w:val="000000"/>
                <w:sz w:val="20"/>
                <w:szCs w:val="20"/>
              </w:rPr>
              <w:t>WEWNĘTRZNY WSPÓŁCZYNNIK KAPITAŁOWY</w:t>
            </w:r>
          </w:p>
        </w:tc>
        <w:tc>
          <w:tcPr>
            <w:tcW w:w="4660" w:type="dxa"/>
            <w:gridSpan w:val="3"/>
          </w:tcPr>
          <w:p w14:paraId="4FF821D4" w14:textId="2A38CBC3" w:rsidR="006C2E4D" w:rsidRPr="006705A2" w:rsidRDefault="00B60B63" w:rsidP="003400E3">
            <w:pPr>
              <w:spacing w:after="0" w:line="240" w:lineRule="auto"/>
              <w:jc w:val="center"/>
              <w:rPr>
                <w:rFonts w:ascii="Times New Roman" w:hAnsi="Times New Roman"/>
                <w:b/>
                <w:color w:val="000000"/>
                <w:sz w:val="20"/>
                <w:szCs w:val="20"/>
              </w:rPr>
            </w:pPr>
            <w:r w:rsidRPr="006705A2">
              <w:rPr>
                <w:rFonts w:ascii="Times New Roman" w:hAnsi="Times New Roman"/>
                <w:b/>
                <w:color w:val="000000"/>
                <w:sz w:val="20"/>
                <w:szCs w:val="20"/>
              </w:rPr>
              <w:t>15,40</w:t>
            </w:r>
          </w:p>
        </w:tc>
      </w:tr>
    </w:tbl>
    <w:p w14:paraId="4675E96E" w14:textId="77777777" w:rsidR="00730ABC" w:rsidRDefault="00730ABC" w:rsidP="00730ABC">
      <w:pPr>
        <w:spacing w:after="0"/>
        <w:jc w:val="both"/>
        <w:rPr>
          <w:rFonts w:ascii="Arial" w:hAnsi="Arial" w:cs="Arial"/>
          <w:b/>
          <w:sz w:val="16"/>
          <w:szCs w:val="20"/>
        </w:rPr>
      </w:pPr>
    </w:p>
    <w:p w14:paraId="342BC6D4" w14:textId="77777777" w:rsidR="006705A2" w:rsidRDefault="006705A2" w:rsidP="00AD7AF8">
      <w:pPr>
        <w:jc w:val="center"/>
        <w:rPr>
          <w:rFonts w:ascii="Times New Roman" w:hAnsi="Times New Roman" w:cs="Times New Roman"/>
          <w:b/>
        </w:rPr>
      </w:pPr>
    </w:p>
    <w:p w14:paraId="34890A29" w14:textId="77777777" w:rsidR="000C4F9E" w:rsidRPr="00AD7AF8" w:rsidRDefault="00AA788D" w:rsidP="00AD7AF8">
      <w:pPr>
        <w:jc w:val="center"/>
        <w:rPr>
          <w:rFonts w:ascii="Times New Roman" w:hAnsi="Times New Roman" w:cs="Times New Roman"/>
          <w:b/>
        </w:rPr>
      </w:pPr>
      <w:r w:rsidRPr="00AD7AF8">
        <w:rPr>
          <w:rFonts w:ascii="Times New Roman" w:hAnsi="Times New Roman" w:cs="Times New Roman"/>
          <w:b/>
        </w:rPr>
        <w:t>VII</w:t>
      </w:r>
      <w:r w:rsidR="009B6591">
        <w:rPr>
          <w:rFonts w:ascii="Times New Roman" w:hAnsi="Times New Roman" w:cs="Times New Roman"/>
          <w:b/>
        </w:rPr>
        <w:t>I</w:t>
      </w:r>
      <w:r w:rsidRPr="00AD7AF8">
        <w:rPr>
          <w:rFonts w:ascii="Times New Roman" w:hAnsi="Times New Roman" w:cs="Times New Roman"/>
          <w:b/>
        </w:rPr>
        <w:t>. RYZYKO KREDYTOWE – INFORMACJE JAKOŚCIOWE</w:t>
      </w:r>
    </w:p>
    <w:p w14:paraId="0857A1A3" w14:textId="77777777" w:rsidR="00141CE9" w:rsidRPr="00AD7AF8" w:rsidRDefault="00AA788D" w:rsidP="009A6274">
      <w:pPr>
        <w:pStyle w:val="Akapitzlist"/>
        <w:numPr>
          <w:ilvl w:val="0"/>
          <w:numId w:val="12"/>
        </w:numPr>
        <w:spacing w:line="240" w:lineRule="auto"/>
        <w:ind w:left="284"/>
        <w:jc w:val="both"/>
        <w:rPr>
          <w:rFonts w:ascii="Times New Roman" w:hAnsi="Times New Roman" w:cs="Times New Roman"/>
          <w:b/>
        </w:rPr>
      </w:pPr>
      <w:r w:rsidRPr="00AD7AF8">
        <w:rPr>
          <w:rFonts w:ascii="Times New Roman" w:hAnsi="Times New Roman" w:cs="Times New Roman"/>
          <w:b/>
        </w:rPr>
        <w:t>Definicja należności przeterminowanych i zagrożonych stosowanych do celów rachunkowości</w:t>
      </w:r>
    </w:p>
    <w:p w14:paraId="24E09C6B" w14:textId="77777777" w:rsidR="00141CE9" w:rsidRPr="00AD7AF8" w:rsidRDefault="00441762" w:rsidP="008F63CA">
      <w:pPr>
        <w:pStyle w:val="Akapitzlist"/>
        <w:numPr>
          <w:ilvl w:val="0"/>
          <w:numId w:val="5"/>
        </w:numPr>
        <w:spacing w:line="240" w:lineRule="auto"/>
        <w:ind w:left="426"/>
        <w:jc w:val="both"/>
        <w:rPr>
          <w:rFonts w:ascii="Times New Roman" w:hAnsi="Times New Roman" w:cs="Times New Roman"/>
          <w:b/>
        </w:rPr>
      </w:pPr>
      <w:r w:rsidRPr="00AD7AF8">
        <w:rPr>
          <w:rFonts w:ascii="Times New Roman" w:hAnsi="Times New Roman" w:cs="Times New Roman"/>
        </w:rPr>
        <w:t>Ekspozycje uznaje się za przeterminowane, jeśli przeterminowanie przekracza 90 dni, a przeterminowana kwota ekspozycji przekracza w przypadku ekspozycji detalicznych 500 zł., zaś w przypadku pozostałych klas ekspozycji, przeterminowana kwota przekracza 3.000 zł;</w:t>
      </w:r>
    </w:p>
    <w:p w14:paraId="57DD832C" w14:textId="77777777" w:rsidR="00141CE9" w:rsidRPr="00AD7AF8" w:rsidRDefault="00E90473" w:rsidP="008F63CA">
      <w:pPr>
        <w:pStyle w:val="Akapitzlist"/>
        <w:numPr>
          <w:ilvl w:val="0"/>
          <w:numId w:val="5"/>
        </w:numPr>
        <w:spacing w:line="240" w:lineRule="auto"/>
        <w:ind w:left="426"/>
        <w:jc w:val="both"/>
        <w:rPr>
          <w:rFonts w:ascii="Times New Roman" w:hAnsi="Times New Roman" w:cs="Times New Roman"/>
        </w:rPr>
      </w:pPr>
      <w:r w:rsidRPr="00AD7AF8">
        <w:rPr>
          <w:rFonts w:ascii="Times New Roman" w:hAnsi="Times New Roman" w:cs="Times New Roman"/>
        </w:rPr>
        <w:t xml:space="preserve">Ekspozycje zagrożone – </w:t>
      </w:r>
      <w:r w:rsidR="00F4663A" w:rsidRPr="00AD7AF8">
        <w:rPr>
          <w:rFonts w:ascii="Times New Roman" w:hAnsi="Times New Roman" w:cs="Times New Roman"/>
        </w:rPr>
        <w:t>są to ekspozycje zaklasyfikowane do ekspozycji poniżej standardu, do ekspozycji wątpliwych lub ekspozycji straconych, z wyłączeniem ekspozycji kredytowych, wynikających z pożyczek i kredytów detalicznych oraz ekspozycji wobec Skarbu Państwa, a także z wyłączeniem ekspozycji hipotecznych i mieszkaniowych. Ekspozycje te występują w formie:</w:t>
      </w:r>
    </w:p>
    <w:p w14:paraId="67FE01B4" w14:textId="77777777" w:rsidR="00141CE9" w:rsidRPr="00AD7AF8" w:rsidRDefault="00F4663A" w:rsidP="009A6274">
      <w:pPr>
        <w:pStyle w:val="Akapitzlist"/>
        <w:numPr>
          <w:ilvl w:val="0"/>
          <w:numId w:val="13"/>
        </w:numPr>
        <w:spacing w:line="240" w:lineRule="auto"/>
        <w:ind w:left="993"/>
        <w:jc w:val="both"/>
        <w:rPr>
          <w:rFonts w:ascii="Times New Roman" w:hAnsi="Times New Roman" w:cs="Times New Roman"/>
        </w:rPr>
      </w:pPr>
      <w:r w:rsidRPr="00AD7AF8">
        <w:rPr>
          <w:rFonts w:ascii="Times New Roman" w:hAnsi="Times New Roman" w:cs="Times New Roman"/>
        </w:rPr>
        <w:t>ekspozycji poniżej standardu – są te ekspozycje obejmujące ekspozycje w przypadku których opóźnienie w spłacie kredytu lub odsetek przekracza 3 miesiące i nie jest dłuższe niż 6 miesięcy oraz są to ekspozycje względem dłużników, których sytuacja ekonomiczno  – finansowa może stanowić zagrożenie terminowej spłaty ekspozycji;</w:t>
      </w:r>
    </w:p>
    <w:p w14:paraId="1694449D" w14:textId="77777777" w:rsidR="00141CE9" w:rsidRPr="00AD7AF8" w:rsidRDefault="00F4663A" w:rsidP="009A6274">
      <w:pPr>
        <w:pStyle w:val="Akapitzlist"/>
        <w:numPr>
          <w:ilvl w:val="0"/>
          <w:numId w:val="13"/>
        </w:numPr>
        <w:spacing w:line="240" w:lineRule="auto"/>
        <w:ind w:left="993"/>
        <w:jc w:val="both"/>
        <w:rPr>
          <w:rFonts w:ascii="Times New Roman" w:hAnsi="Times New Roman" w:cs="Times New Roman"/>
        </w:rPr>
      </w:pPr>
      <w:r w:rsidRPr="00AD7AF8">
        <w:rPr>
          <w:rFonts w:ascii="Times New Roman" w:hAnsi="Times New Roman" w:cs="Times New Roman"/>
        </w:rPr>
        <w:t xml:space="preserve">ekspozycji wątpliwych – są to ekspozycje obejmujące ekspozycje w przypadku których opóźnienie w spłacie kredytu lub odsetek wynosi powyżej sześciu miesięcy i nie przekracza dwunastu miesięcy oraz ekspozycje względem dłużników, których sytuacja ekonomiczno – finansowa uległa </w:t>
      </w:r>
      <w:r w:rsidRPr="00AD7AF8">
        <w:rPr>
          <w:rFonts w:ascii="Times New Roman" w:hAnsi="Times New Roman" w:cs="Times New Roman"/>
        </w:rPr>
        <w:lastRenderedPageBreak/>
        <w:t>znacznemu pogorszeniu, a zwłaszcza gdy ponoszone straty w sposób istotny naruszają ich kapitał (aktywa netto)</w:t>
      </w:r>
    </w:p>
    <w:p w14:paraId="5118F5EE" w14:textId="77777777" w:rsidR="00141CE9" w:rsidRPr="00AD7AF8" w:rsidRDefault="00E10E7B" w:rsidP="009A6274">
      <w:pPr>
        <w:pStyle w:val="Akapitzlist"/>
        <w:numPr>
          <w:ilvl w:val="0"/>
          <w:numId w:val="13"/>
        </w:numPr>
        <w:spacing w:line="240" w:lineRule="auto"/>
        <w:ind w:left="993"/>
        <w:jc w:val="both"/>
        <w:rPr>
          <w:rFonts w:ascii="Times New Roman" w:hAnsi="Times New Roman" w:cs="Times New Roman"/>
        </w:rPr>
      </w:pPr>
      <w:r w:rsidRPr="00AD7AF8">
        <w:rPr>
          <w:rFonts w:ascii="Times New Roman" w:hAnsi="Times New Roman" w:cs="Times New Roman"/>
        </w:rPr>
        <w:t>ekspozycji straconych – są to ekspozycje obejmujące:</w:t>
      </w:r>
    </w:p>
    <w:p w14:paraId="459F7C75" w14:textId="77777777" w:rsidR="00141CE9" w:rsidRPr="00AD7AF8" w:rsidRDefault="00E10E7B" w:rsidP="009A6274">
      <w:pPr>
        <w:pStyle w:val="Akapitzlist"/>
        <w:numPr>
          <w:ilvl w:val="0"/>
          <w:numId w:val="14"/>
        </w:numPr>
        <w:spacing w:line="240" w:lineRule="auto"/>
        <w:ind w:left="1418"/>
        <w:jc w:val="both"/>
        <w:rPr>
          <w:rFonts w:ascii="Times New Roman" w:hAnsi="Times New Roman" w:cs="Times New Roman"/>
        </w:rPr>
      </w:pPr>
      <w:r w:rsidRPr="00AD7AF8">
        <w:rPr>
          <w:rFonts w:ascii="Times New Roman" w:hAnsi="Times New Roman" w:cs="Times New Roman"/>
        </w:rPr>
        <w:t>ekspozycje, w przypadku których opóźnienie w spłacie kredytu lub odsetek przekracza dwanaście miesięcy,</w:t>
      </w:r>
    </w:p>
    <w:p w14:paraId="12767BE8" w14:textId="77777777" w:rsidR="00141CE9" w:rsidRPr="00AD7AF8" w:rsidRDefault="00E10E7B" w:rsidP="009A6274">
      <w:pPr>
        <w:pStyle w:val="Akapitzlist"/>
        <w:numPr>
          <w:ilvl w:val="0"/>
          <w:numId w:val="14"/>
        </w:numPr>
        <w:spacing w:line="240" w:lineRule="auto"/>
        <w:ind w:left="1418"/>
        <w:jc w:val="both"/>
        <w:rPr>
          <w:rFonts w:ascii="Times New Roman" w:hAnsi="Times New Roman" w:cs="Times New Roman"/>
        </w:rPr>
      </w:pPr>
      <w:r w:rsidRPr="00AD7AF8">
        <w:rPr>
          <w:rFonts w:ascii="Times New Roman" w:hAnsi="Times New Roman" w:cs="Times New Roman"/>
        </w:rPr>
        <w:t>ekspozycje kredytowe wobec dłużników, których sytuacja ekonomiczno – finansowa pogorszyła się w sposób nieodwracalny uniemożliwiający spłacanie długów,</w:t>
      </w:r>
    </w:p>
    <w:p w14:paraId="667C403B" w14:textId="77777777" w:rsidR="00141CE9" w:rsidRPr="00AD7AF8" w:rsidRDefault="00E10E7B" w:rsidP="009A6274">
      <w:pPr>
        <w:pStyle w:val="Akapitzlist"/>
        <w:numPr>
          <w:ilvl w:val="0"/>
          <w:numId w:val="14"/>
        </w:numPr>
        <w:spacing w:line="240" w:lineRule="auto"/>
        <w:ind w:left="1418"/>
        <w:jc w:val="both"/>
        <w:rPr>
          <w:rFonts w:ascii="Times New Roman" w:hAnsi="Times New Roman" w:cs="Times New Roman"/>
        </w:rPr>
      </w:pPr>
      <w:r w:rsidRPr="00AD7AF8">
        <w:rPr>
          <w:rFonts w:ascii="Times New Roman" w:hAnsi="Times New Roman" w:cs="Times New Roman"/>
        </w:rPr>
        <w:t>ekspozycje względem dłużników w stosunku, do których ogłoszono upadłość lub w stosunku, do których nastąpiło otwarcie likwidacji, z wyjątkiem, gdy następuje ona na podstawie przepisów o komercjalizacji prywatyzacji przedsiębiorstw państwowych,</w:t>
      </w:r>
    </w:p>
    <w:p w14:paraId="47B9062D" w14:textId="77777777" w:rsidR="00141CE9" w:rsidRPr="00AD7AF8" w:rsidRDefault="00E10E7B" w:rsidP="009A6274">
      <w:pPr>
        <w:pStyle w:val="Akapitzlist"/>
        <w:numPr>
          <w:ilvl w:val="0"/>
          <w:numId w:val="14"/>
        </w:numPr>
        <w:spacing w:line="240" w:lineRule="auto"/>
        <w:ind w:left="1418"/>
        <w:jc w:val="both"/>
        <w:rPr>
          <w:rFonts w:ascii="Times New Roman" w:hAnsi="Times New Roman" w:cs="Times New Roman"/>
        </w:rPr>
      </w:pPr>
      <w:r w:rsidRPr="00AD7AF8">
        <w:rPr>
          <w:rFonts w:ascii="Times New Roman" w:hAnsi="Times New Roman" w:cs="Times New Roman"/>
        </w:rPr>
        <w:t>ekspozycji względem dłużników, przeciwko którym Bank złożył wniosek o wszczęcie postępowania egzekucyjnego,</w:t>
      </w:r>
    </w:p>
    <w:p w14:paraId="202ED806" w14:textId="77777777" w:rsidR="00141CE9" w:rsidRPr="00AD7AF8" w:rsidRDefault="00E10E7B" w:rsidP="009A6274">
      <w:pPr>
        <w:pStyle w:val="Akapitzlist"/>
        <w:numPr>
          <w:ilvl w:val="0"/>
          <w:numId w:val="14"/>
        </w:numPr>
        <w:spacing w:line="240" w:lineRule="auto"/>
        <w:ind w:left="1418"/>
        <w:jc w:val="both"/>
        <w:rPr>
          <w:rFonts w:ascii="Times New Roman" w:hAnsi="Times New Roman" w:cs="Times New Roman"/>
        </w:rPr>
      </w:pPr>
      <w:r w:rsidRPr="00AD7AF8">
        <w:rPr>
          <w:rFonts w:ascii="Times New Roman" w:hAnsi="Times New Roman" w:cs="Times New Roman"/>
        </w:rPr>
        <w:t>ekspozycje kredytowe kwestionowane przez dłużników na drodze postępowania sądowego,</w:t>
      </w:r>
    </w:p>
    <w:p w14:paraId="40221255" w14:textId="77777777" w:rsidR="00141CE9" w:rsidRPr="00AD7AF8" w:rsidRDefault="00E10E7B" w:rsidP="009A6274">
      <w:pPr>
        <w:pStyle w:val="Akapitzlist"/>
        <w:numPr>
          <w:ilvl w:val="0"/>
          <w:numId w:val="14"/>
        </w:numPr>
        <w:spacing w:line="240" w:lineRule="auto"/>
        <w:ind w:left="1418"/>
        <w:jc w:val="both"/>
        <w:rPr>
          <w:rFonts w:ascii="Times New Roman" w:hAnsi="Times New Roman" w:cs="Times New Roman"/>
        </w:rPr>
      </w:pPr>
      <w:r w:rsidRPr="00AD7AF8">
        <w:rPr>
          <w:rFonts w:ascii="Times New Roman" w:hAnsi="Times New Roman" w:cs="Times New Roman"/>
        </w:rPr>
        <w:t>ekspozycje względem dłużników, których miejsce pobytu jest nieznane i których majątek nie został ujawniony.</w:t>
      </w:r>
    </w:p>
    <w:p w14:paraId="76260A89" w14:textId="77777777" w:rsidR="00345310" w:rsidRPr="00AD7AF8" w:rsidRDefault="00345310" w:rsidP="009A6274">
      <w:pPr>
        <w:pStyle w:val="Akapitzlist"/>
        <w:numPr>
          <w:ilvl w:val="0"/>
          <w:numId w:val="12"/>
        </w:numPr>
        <w:spacing w:line="240" w:lineRule="auto"/>
        <w:jc w:val="both"/>
        <w:rPr>
          <w:rFonts w:ascii="Times New Roman" w:hAnsi="Times New Roman" w:cs="Times New Roman"/>
          <w:b/>
        </w:rPr>
      </w:pPr>
      <w:r w:rsidRPr="00AD7AF8">
        <w:rPr>
          <w:rFonts w:ascii="Times New Roman" w:hAnsi="Times New Roman" w:cs="Times New Roman"/>
        </w:rPr>
        <w:t>Opis metod przyjętych do ustalenia korekt wartości rezerw , w tym rezerw na ryzyko ogólne – dla zapewnienia realnej wysokości wyniku finansowego Bank tworzy następujące rezerwy:</w:t>
      </w:r>
    </w:p>
    <w:p w14:paraId="2C6F2ACC" w14:textId="77777777" w:rsidR="00141CE9" w:rsidRPr="00AD7AF8" w:rsidRDefault="00345310" w:rsidP="009A6274">
      <w:pPr>
        <w:pStyle w:val="Akapitzlist"/>
        <w:numPr>
          <w:ilvl w:val="0"/>
          <w:numId w:val="8"/>
        </w:numPr>
        <w:spacing w:line="240" w:lineRule="auto"/>
        <w:ind w:left="1418"/>
        <w:jc w:val="both"/>
        <w:rPr>
          <w:rFonts w:ascii="Times New Roman" w:hAnsi="Times New Roman" w:cs="Times New Roman"/>
          <w:b/>
        </w:rPr>
      </w:pPr>
      <w:r w:rsidRPr="00AD7AF8">
        <w:rPr>
          <w:rFonts w:ascii="Times New Roman" w:hAnsi="Times New Roman" w:cs="Times New Roman"/>
        </w:rPr>
        <w:t>rezerwy celowe związane z ryzykiem w działalności;</w:t>
      </w:r>
    </w:p>
    <w:p w14:paraId="3FC9A5DB" w14:textId="77777777" w:rsidR="00141CE9" w:rsidRPr="00AD7AF8" w:rsidRDefault="00345310" w:rsidP="009A6274">
      <w:pPr>
        <w:pStyle w:val="Akapitzlist"/>
        <w:numPr>
          <w:ilvl w:val="0"/>
          <w:numId w:val="8"/>
        </w:numPr>
        <w:spacing w:line="240" w:lineRule="auto"/>
        <w:ind w:left="1418"/>
        <w:jc w:val="both"/>
        <w:rPr>
          <w:rFonts w:ascii="Times New Roman" w:hAnsi="Times New Roman" w:cs="Times New Roman"/>
          <w:b/>
        </w:rPr>
      </w:pPr>
      <w:r w:rsidRPr="00AD7AF8">
        <w:rPr>
          <w:rFonts w:ascii="Times New Roman" w:hAnsi="Times New Roman" w:cs="Times New Roman"/>
        </w:rPr>
        <w:t>rezerwy z tytułu odroczonego podatku dochodowego;</w:t>
      </w:r>
    </w:p>
    <w:p w14:paraId="35ECA2EB" w14:textId="77777777" w:rsidR="00141CE9" w:rsidRPr="00AD7AF8" w:rsidRDefault="00345310" w:rsidP="009A6274">
      <w:pPr>
        <w:pStyle w:val="Akapitzlist"/>
        <w:numPr>
          <w:ilvl w:val="0"/>
          <w:numId w:val="8"/>
        </w:numPr>
        <w:spacing w:line="240" w:lineRule="auto"/>
        <w:ind w:left="1418"/>
        <w:jc w:val="both"/>
        <w:rPr>
          <w:rFonts w:ascii="Times New Roman" w:hAnsi="Times New Roman" w:cs="Times New Roman"/>
          <w:b/>
        </w:rPr>
      </w:pPr>
      <w:r w:rsidRPr="00AD7AF8">
        <w:rPr>
          <w:rFonts w:ascii="Times New Roman" w:hAnsi="Times New Roman" w:cs="Times New Roman"/>
        </w:rPr>
        <w:t>rezerwa na ryzyko ogólne;</w:t>
      </w:r>
    </w:p>
    <w:p w14:paraId="5232DB79" w14:textId="77777777" w:rsidR="00141CE9" w:rsidRPr="00AD7AF8" w:rsidRDefault="00345310" w:rsidP="009A6274">
      <w:pPr>
        <w:pStyle w:val="Akapitzlist"/>
        <w:numPr>
          <w:ilvl w:val="0"/>
          <w:numId w:val="8"/>
        </w:numPr>
        <w:spacing w:line="240" w:lineRule="auto"/>
        <w:ind w:left="1418"/>
        <w:jc w:val="both"/>
        <w:rPr>
          <w:rFonts w:ascii="Times New Roman" w:hAnsi="Times New Roman" w:cs="Times New Roman"/>
        </w:rPr>
      </w:pPr>
      <w:r w:rsidRPr="00AD7AF8">
        <w:rPr>
          <w:rFonts w:ascii="Times New Roman" w:hAnsi="Times New Roman" w:cs="Times New Roman"/>
        </w:rPr>
        <w:t>rezerwy związane z zobowiązaniami warunkowymi.</w:t>
      </w:r>
    </w:p>
    <w:p w14:paraId="041AA374" w14:textId="77777777" w:rsidR="00345310" w:rsidRPr="00AD7AF8" w:rsidRDefault="00E10E7B" w:rsidP="00AD7AF8">
      <w:pPr>
        <w:spacing w:after="0" w:line="240" w:lineRule="auto"/>
        <w:jc w:val="both"/>
        <w:rPr>
          <w:rFonts w:ascii="Times New Roman" w:hAnsi="Times New Roman" w:cs="Times New Roman"/>
        </w:rPr>
      </w:pPr>
      <w:r w:rsidRPr="00AD7AF8">
        <w:rPr>
          <w:rFonts w:ascii="Times New Roman" w:hAnsi="Times New Roman" w:cs="Times New Roman"/>
        </w:rPr>
        <w:t>Bank tworzy rezerwy celowe w doniesieniu do ekspozycji kredytowych, zaliczając je odpowiednio do:</w:t>
      </w:r>
    </w:p>
    <w:p w14:paraId="0CFD3B3D" w14:textId="77777777" w:rsidR="00E10E7B" w:rsidRPr="00AD7AF8" w:rsidRDefault="00E10E7B" w:rsidP="009A6274">
      <w:pPr>
        <w:pStyle w:val="Akapitzlist"/>
        <w:numPr>
          <w:ilvl w:val="0"/>
          <w:numId w:val="15"/>
        </w:numPr>
        <w:spacing w:after="0" w:line="240" w:lineRule="auto"/>
        <w:jc w:val="both"/>
        <w:rPr>
          <w:rFonts w:ascii="Times New Roman" w:hAnsi="Times New Roman" w:cs="Times New Roman"/>
        </w:rPr>
      </w:pPr>
      <w:r w:rsidRPr="00AD7AF8">
        <w:rPr>
          <w:rFonts w:ascii="Times New Roman" w:hAnsi="Times New Roman" w:cs="Times New Roman"/>
        </w:rPr>
        <w:t>kategorii „normalnych”, w zakresie ekspozycji kredytowych wynikających z pożyczek i kredytów detalicznych,</w:t>
      </w:r>
    </w:p>
    <w:p w14:paraId="69D63912" w14:textId="77777777" w:rsidR="00E10E7B" w:rsidRPr="00AD7AF8" w:rsidRDefault="00E10E7B" w:rsidP="009A6274">
      <w:pPr>
        <w:pStyle w:val="Akapitzlist"/>
        <w:numPr>
          <w:ilvl w:val="0"/>
          <w:numId w:val="15"/>
        </w:numPr>
        <w:spacing w:after="0" w:line="240" w:lineRule="auto"/>
        <w:jc w:val="both"/>
        <w:rPr>
          <w:rFonts w:ascii="Times New Roman" w:hAnsi="Times New Roman" w:cs="Times New Roman"/>
        </w:rPr>
      </w:pPr>
      <w:r w:rsidRPr="00AD7AF8">
        <w:rPr>
          <w:rFonts w:ascii="Times New Roman" w:hAnsi="Times New Roman" w:cs="Times New Roman"/>
        </w:rPr>
        <w:t>kategorii „pod obserwacją”,</w:t>
      </w:r>
    </w:p>
    <w:p w14:paraId="5A58644B" w14:textId="77777777" w:rsidR="00E10E7B" w:rsidRPr="00AD7AF8" w:rsidRDefault="00E10E7B" w:rsidP="009A6274">
      <w:pPr>
        <w:pStyle w:val="Akapitzlist"/>
        <w:numPr>
          <w:ilvl w:val="0"/>
          <w:numId w:val="15"/>
        </w:numPr>
        <w:spacing w:after="0" w:line="240" w:lineRule="auto"/>
        <w:jc w:val="both"/>
        <w:rPr>
          <w:rFonts w:ascii="Times New Roman" w:hAnsi="Times New Roman" w:cs="Times New Roman"/>
        </w:rPr>
      </w:pPr>
      <w:r w:rsidRPr="00AD7AF8">
        <w:rPr>
          <w:rFonts w:ascii="Times New Roman" w:hAnsi="Times New Roman" w:cs="Times New Roman"/>
        </w:rPr>
        <w:t>ekspozycji „zagrożonych”</w:t>
      </w:r>
    </w:p>
    <w:p w14:paraId="0C0C7BA6" w14:textId="77777777" w:rsidR="000A47A2" w:rsidRPr="00AD7AF8" w:rsidRDefault="000A47A2" w:rsidP="00AD7AF8">
      <w:pPr>
        <w:spacing w:after="0" w:line="240" w:lineRule="auto"/>
        <w:jc w:val="both"/>
        <w:rPr>
          <w:rFonts w:ascii="Times New Roman" w:hAnsi="Times New Roman" w:cs="Times New Roman"/>
        </w:rPr>
      </w:pPr>
      <w:r w:rsidRPr="00AD7AF8">
        <w:rPr>
          <w:rFonts w:ascii="Times New Roman" w:hAnsi="Times New Roman" w:cs="Times New Roman"/>
        </w:rPr>
        <w:t>Rezerwy celowe tworzy się na należności lub zobowiązania bilansowe, obejmujące jedynie należności główne tj. kredyt, kapitał z wyłączeniem odsetek także skapitalizowanych. Ustala się następujące wartości tworzonych rezerw na ekspozycje kredytowe:</w:t>
      </w:r>
    </w:p>
    <w:p w14:paraId="55F04015" w14:textId="77777777" w:rsidR="00AF3C87" w:rsidRPr="00AD7AF8" w:rsidRDefault="000A47A2" w:rsidP="009A6274">
      <w:pPr>
        <w:pStyle w:val="Akapitzlist"/>
        <w:numPr>
          <w:ilvl w:val="0"/>
          <w:numId w:val="16"/>
        </w:numPr>
        <w:spacing w:after="0" w:line="240" w:lineRule="auto"/>
        <w:ind w:left="709" w:hanging="283"/>
        <w:jc w:val="both"/>
        <w:rPr>
          <w:rFonts w:ascii="Times New Roman" w:hAnsi="Times New Roman" w:cs="Times New Roman"/>
        </w:rPr>
      </w:pPr>
      <w:r w:rsidRPr="00AD7AF8">
        <w:rPr>
          <w:rFonts w:ascii="Times New Roman" w:hAnsi="Times New Roman" w:cs="Times New Roman"/>
        </w:rPr>
        <w:t xml:space="preserve">w zakresie ekspozycji kredytowych, wynikających z pożyczek i kredytów detalicznych zaklasyfikowanych do kategorii „normalne” tworzy się </w:t>
      </w:r>
      <w:r w:rsidR="00AF3C87" w:rsidRPr="00AD7AF8">
        <w:rPr>
          <w:rFonts w:ascii="Times New Roman" w:hAnsi="Times New Roman" w:cs="Times New Roman"/>
        </w:rPr>
        <w:t>w wysokości, co najmniej wymagalnego poziomu rezerw, stanowiącego 1,5% ich podstawy;</w:t>
      </w:r>
    </w:p>
    <w:p w14:paraId="7CD748FB" w14:textId="77777777" w:rsidR="00AF3C87" w:rsidRPr="00AD7AF8" w:rsidRDefault="00AF3C87" w:rsidP="009A6274">
      <w:pPr>
        <w:pStyle w:val="Akapitzlist"/>
        <w:numPr>
          <w:ilvl w:val="0"/>
          <w:numId w:val="16"/>
        </w:numPr>
        <w:spacing w:after="0" w:line="240" w:lineRule="auto"/>
        <w:ind w:left="709" w:hanging="283"/>
        <w:jc w:val="both"/>
        <w:rPr>
          <w:rFonts w:ascii="Times New Roman" w:hAnsi="Times New Roman" w:cs="Times New Roman"/>
        </w:rPr>
      </w:pPr>
      <w:r w:rsidRPr="00AD7AF8">
        <w:rPr>
          <w:rFonts w:ascii="Times New Roman" w:hAnsi="Times New Roman" w:cs="Times New Roman"/>
        </w:rPr>
        <w:t>w zakresie ekspozycji kredytowych zakwalifikowanych do kategorii „pod obserwacją”, tworzy się rezerwę na podstawie indywidualnej oceny ryzyka, obciążającego daną ekspozycję, jednak w wysokości co najmniej – 1,5% ich podstawy,</w:t>
      </w:r>
    </w:p>
    <w:p w14:paraId="6A17BFD7" w14:textId="77777777" w:rsidR="000A47A2" w:rsidRPr="00AD7AF8" w:rsidRDefault="00AF3C87" w:rsidP="009A6274">
      <w:pPr>
        <w:pStyle w:val="Akapitzlist"/>
        <w:numPr>
          <w:ilvl w:val="0"/>
          <w:numId w:val="16"/>
        </w:numPr>
        <w:spacing w:after="0" w:line="240" w:lineRule="auto"/>
        <w:ind w:left="709" w:hanging="283"/>
        <w:jc w:val="both"/>
        <w:rPr>
          <w:rFonts w:ascii="Times New Roman" w:hAnsi="Times New Roman" w:cs="Times New Roman"/>
        </w:rPr>
      </w:pPr>
      <w:r w:rsidRPr="00AD7AF8">
        <w:rPr>
          <w:rFonts w:ascii="Times New Roman" w:hAnsi="Times New Roman" w:cs="Times New Roman"/>
        </w:rPr>
        <w:t>w zakresie ekspozycji kredytowych zakwalifikowanych do „grupy zagrożonych”, tworzy się rezerwę na podstawie indywidualnej oceny ryzyka obciążonego daną  ekspozycję, jednak w wysokości, co najmniej:</w:t>
      </w:r>
    </w:p>
    <w:p w14:paraId="2C278249" w14:textId="77777777" w:rsidR="00AF3C87" w:rsidRPr="00AD7AF8" w:rsidRDefault="00AF3C87" w:rsidP="009A6274">
      <w:pPr>
        <w:pStyle w:val="Akapitzlist"/>
        <w:numPr>
          <w:ilvl w:val="0"/>
          <w:numId w:val="17"/>
        </w:numPr>
        <w:spacing w:after="0" w:line="240" w:lineRule="auto"/>
        <w:jc w:val="both"/>
        <w:rPr>
          <w:rFonts w:ascii="Times New Roman" w:hAnsi="Times New Roman" w:cs="Times New Roman"/>
        </w:rPr>
      </w:pPr>
      <w:r w:rsidRPr="00AD7AF8">
        <w:rPr>
          <w:rFonts w:ascii="Times New Roman" w:hAnsi="Times New Roman" w:cs="Times New Roman"/>
        </w:rPr>
        <w:t>20% ich kwoty zaklasyfikowanej do kategorii „poniżej standardu”,</w:t>
      </w:r>
    </w:p>
    <w:p w14:paraId="02BDE292" w14:textId="77777777" w:rsidR="00AF3C87" w:rsidRPr="00AD7AF8" w:rsidRDefault="00AF3C87" w:rsidP="009A6274">
      <w:pPr>
        <w:pStyle w:val="Akapitzlist"/>
        <w:numPr>
          <w:ilvl w:val="0"/>
          <w:numId w:val="17"/>
        </w:numPr>
        <w:spacing w:after="0" w:line="240" w:lineRule="auto"/>
        <w:jc w:val="both"/>
        <w:rPr>
          <w:rFonts w:ascii="Times New Roman" w:hAnsi="Times New Roman" w:cs="Times New Roman"/>
        </w:rPr>
      </w:pPr>
      <w:r w:rsidRPr="00AD7AF8">
        <w:rPr>
          <w:rFonts w:ascii="Times New Roman" w:hAnsi="Times New Roman" w:cs="Times New Roman"/>
        </w:rPr>
        <w:t>50% ich kwoty zaklasyfikowanej do kategorii „wątpliwych”,</w:t>
      </w:r>
    </w:p>
    <w:p w14:paraId="49A9A96B" w14:textId="77777777" w:rsidR="00AF3C87" w:rsidRPr="00AD7AF8" w:rsidRDefault="00AF3C87" w:rsidP="009A6274">
      <w:pPr>
        <w:pStyle w:val="Akapitzlist"/>
        <w:numPr>
          <w:ilvl w:val="0"/>
          <w:numId w:val="17"/>
        </w:numPr>
        <w:spacing w:after="0" w:line="240" w:lineRule="auto"/>
        <w:jc w:val="both"/>
        <w:rPr>
          <w:rFonts w:ascii="Times New Roman" w:hAnsi="Times New Roman" w:cs="Times New Roman"/>
        </w:rPr>
      </w:pPr>
      <w:r w:rsidRPr="00AD7AF8">
        <w:rPr>
          <w:rFonts w:ascii="Times New Roman" w:hAnsi="Times New Roman" w:cs="Times New Roman"/>
        </w:rPr>
        <w:t>100% ich kwoty zaklasyfikowanej do kategorii „straconych”</w:t>
      </w:r>
    </w:p>
    <w:p w14:paraId="0CD5586D" w14:textId="77777777" w:rsidR="00AF3C87" w:rsidRPr="00AD7AF8" w:rsidRDefault="00AF3C87" w:rsidP="009A6274">
      <w:pPr>
        <w:pStyle w:val="Akapitzlist"/>
        <w:numPr>
          <w:ilvl w:val="0"/>
          <w:numId w:val="16"/>
        </w:numPr>
        <w:spacing w:after="0" w:line="240" w:lineRule="auto"/>
        <w:ind w:left="709" w:hanging="283"/>
        <w:jc w:val="both"/>
        <w:rPr>
          <w:rFonts w:ascii="Times New Roman" w:hAnsi="Times New Roman" w:cs="Times New Roman"/>
        </w:rPr>
      </w:pPr>
      <w:r w:rsidRPr="00AD7AF8">
        <w:rPr>
          <w:rFonts w:ascii="Times New Roman" w:hAnsi="Times New Roman" w:cs="Times New Roman"/>
        </w:rPr>
        <w:t>Podstawę tworzenia rezerw celowych, stanowi wartość bilansowa ekspozycji kredytowych bez uwzględnienia utworzonych rezerw celowych, ale z uwzględnieniem przewidywanej, w związku z restrukturyzacją zadłużenia, kwotę umorzenia części ekspozycji.</w:t>
      </w:r>
    </w:p>
    <w:p w14:paraId="6FADFCF3" w14:textId="77777777" w:rsidR="00AF3C87" w:rsidRDefault="00AF3C87" w:rsidP="009A6274">
      <w:pPr>
        <w:pStyle w:val="Akapitzlist"/>
        <w:numPr>
          <w:ilvl w:val="0"/>
          <w:numId w:val="16"/>
        </w:numPr>
        <w:spacing w:after="0" w:line="240" w:lineRule="auto"/>
        <w:ind w:left="709" w:hanging="283"/>
        <w:jc w:val="both"/>
        <w:rPr>
          <w:rFonts w:ascii="Times New Roman" w:hAnsi="Times New Roman" w:cs="Times New Roman"/>
        </w:rPr>
      </w:pPr>
      <w:r w:rsidRPr="00AD7AF8">
        <w:rPr>
          <w:rFonts w:ascii="Times New Roman" w:hAnsi="Times New Roman" w:cs="Times New Roman"/>
        </w:rPr>
        <w:t>Dopuszcza się tworzenie rezerw na inne aktywa i zobowiązania pozabilansowe, które mogą być zagrożeniem dla bezpieczeństwa depozytów gromadzonych w Banku. Decyzję w tym zakresie podejmuje Zarząd Banku na wniosek Inspektora Kredytowego, po zaopiniowaniu, zgodnie ze schematem kompetencji decyzyjnych określonych w Instrukcji zarządzania ryzykiem kredytowym.</w:t>
      </w:r>
    </w:p>
    <w:p w14:paraId="00CDEEB1" w14:textId="77777777" w:rsidR="005E7617" w:rsidRDefault="005E7617" w:rsidP="005E7617">
      <w:pPr>
        <w:spacing w:after="0" w:line="240" w:lineRule="auto"/>
        <w:jc w:val="both"/>
        <w:rPr>
          <w:rFonts w:ascii="Times New Roman" w:hAnsi="Times New Roman" w:cs="Times New Roman"/>
        </w:rPr>
      </w:pPr>
    </w:p>
    <w:p w14:paraId="0C43431F" w14:textId="77777777" w:rsidR="001F3BB4" w:rsidRDefault="001F3BB4" w:rsidP="005E7617">
      <w:pPr>
        <w:spacing w:after="0" w:line="240" w:lineRule="auto"/>
        <w:jc w:val="both"/>
        <w:rPr>
          <w:rFonts w:ascii="Times New Roman" w:hAnsi="Times New Roman" w:cs="Times New Roman"/>
        </w:rPr>
      </w:pPr>
    </w:p>
    <w:p w14:paraId="456A0458" w14:textId="77777777" w:rsidR="00345310" w:rsidRDefault="009B6591" w:rsidP="00AD7AF8">
      <w:pPr>
        <w:spacing w:line="240" w:lineRule="auto"/>
        <w:jc w:val="center"/>
        <w:rPr>
          <w:rFonts w:ascii="Times New Roman" w:hAnsi="Times New Roman" w:cs="Times New Roman"/>
          <w:b/>
        </w:rPr>
      </w:pPr>
      <w:r>
        <w:rPr>
          <w:rFonts w:ascii="Times New Roman" w:hAnsi="Times New Roman" w:cs="Times New Roman"/>
          <w:b/>
        </w:rPr>
        <w:t>IX</w:t>
      </w:r>
      <w:r w:rsidR="00AF3C87" w:rsidRPr="00AD7AF8">
        <w:rPr>
          <w:rFonts w:ascii="Times New Roman" w:hAnsi="Times New Roman" w:cs="Times New Roman"/>
          <w:b/>
        </w:rPr>
        <w:t>. RYZYKO KREDYTOWE</w:t>
      </w:r>
    </w:p>
    <w:p w14:paraId="0F358408" w14:textId="77777777" w:rsidR="00AE50B7" w:rsidRPr="00AF3C87" w:rsidRDefault="00AE50B7" w:rsidP="00AE50B7">
      <w:pPr>
        <w:ind w:left="360"/>
        <w:jc w:val="both"/>
        <w:rPr>
          <w:rFonts w:ascii="Times New Roman" w:hAnsi="Times New Roman" w:cs="Times New Roman"/>
          <w:b/>
          <w:sz w:val="24"/>
        </w:rPr>
      </w:pPr>
      <w:r w:rsidRPr="00AF3C87">
        <w:rPr>
          <w:rFonts w:ascii="Times New Roman" w:hAnsi="Times New Roman" w:cs="Times New Roman"/>
          <w:b/>
          <w:sz w:val="24"/>
        </w:rPr>
        <w:t>Ryzyko kredytowe – informacje ilościowe</w:t>
      </w:r>
    </w:p>
    <w:p w14:paraId="1316D524" w14:textId="77777777" w:rsidR="00AE50B7" w:rsidRPr="005E7617" w:rsidRDefault="00AE50B7" w:rsidP="008F63CA">
      <w:pPr>
        <w:pStyle w:val="Akapitzlist"/>
        <w:numPr>
          <w:ilvl w:val="0"/>
          <w:numId w:val="6"/>
        </w:numPr>
        <w:ind w:left="993"/>
        <w:jc w:val="both"/>
        <w:rPr>
          <w:rFonts w:ascii="Times New Roman" w:hAnsi="Times New Roman" w:cs="Times New Roman"/>
          <w:b/>
        </w:rPr>
      </w:pPr>
      <w:r w:rsidRPr="005E7617">
        <w:rPr>
          <w:rFonts w:ascii="Times New Roman" w:hAnsi="Times New Roman" w:cs="Times New Roman"/>
          <w:b/>
        </w:rPr>
        <w:t>Łączna kwota ekspozycji kredytowych według wyceny bilansowej, bez uwzględnienia technik redukcji ryzyka kredytowego.</w:t>
      </w:r>
    </w:p>
    <w:p w14:paraId="6DFB7C53" w14:textId="4C3A2A1B" w:rsidR="00AE50B7" w:rsidRPr="005E7617" w:rsidRDefault="00AE50B7" w:rsidP="00260D30">
      <w:pPr>
        <w:pStyle w:val="Akapitzlist"/>
        <w:ind w:left="993"/>
        <w:jc w:val="both"/>
        <w:rPr>
          <w:rFonts w:ascii="Times New Roman" w:hAnsi="Times New Roman" w:cs="Times New Roman"/>
        </w:rPr>
      </w:pPr>
      <w:r w:rsidRPr="005E7617">
        <w:rPr>
          <w:rFonts w:ascii="Times New Roman" w:hAnsi="Times New Roman" w:cs="Times New Roman"/>
        </w:rPr>
        <w:lastRenderedPageBreak/>
        <w:t xml:space="preserve">Łączna kwota ekspozycji kredytowych na dzień </w:t>
      </w:r>
      <w:r w:rsidRPr="005E7617">
        <w:rPr>
          <w:rFonts w:ascii="Times New Roman" w:hAnsi="Times New Roman" w:cs="Times New Roman"/>
          <w:b/>
        </w:rPr>
        <w:t>31-12-201</w:t>
      </w:r>
      <w:r w:rsidR="00F751F6">
        <w:rPr>
          <w:rFonts w:ascii="Times New Roman" w:hAnsi="Times New Roman" w:cs="Times New Roman"/>
          <w:b/>
        </w:rPr>
        <w:t>9</w:t>
      </w:r>
      <w:r w:rsidRPr="005E7617">
        <w:rPr>
          <w:rFonts w:ascii="Times New Roman" w:hAnsi="Times New Roman" w:cs="Times New Roman"/>
          <w:b/>
        </w:rPr>
        <w:t>r.</w:t>
      </w:r>
      <w:r w:rsidRPr="005E7617">
        <w:rPr>
          <w:rFonts w:ascii="Times New Roman" w:hAnsi="Times New Roman" w:cs="Times New Roman"/>
        </w:rPr>
        <w:t xml:space="preserve"> według wyceny bilansowej wyniosła </w:t>
      </w:r>
      <w:r w:rsidR="00B72873">
        <w:rPr>
          <w:rFonts w:ascii="Times New Roman" w:hAnsi="Times New Roman" w:cs="Times New Roman"/>
          <w:b/>
        </w:rPr>
        <w:t>41 036</w:t>
      </w:r>
      <w:r w:rsidRPr="005E7617">
        <w:rPr>
          <w:rFonts w:ascii="Times New Roman" w:hAnsi="Times New Roman" w:cs="Times New Roman"/>
          <w:b/>
        </w:rPr>
        <w:t xml:space="preserve"> tys. zł</w:t>
      </w:r>
    </w:p>
    <w:p w14:paraId="1B867B97" w14:textId="77777777" w:rsidR="00AE50B7" w:rsidRPr="00B72873" w:rsidRDefault="00AE50B7" w:rsidP="00B72873">
      <w:pPr>
        <w:pStyle w:val="Akapitzlist"/>
        <w:numPr>
          <w:ilvl w:val="0"/>
          <w:numId w:val="6"/>
        </w:numPr>
        <w:ind w:left="993"/>
        <w:jc w:val="both"/>
        <w:rPr>
          <w:rFonts w:ascii="Times New Roman" w:hAnsi="Times New Roman" w:cs="Times New Roman"/>
          <w:b/>
        </w:rPr>
      </w:pPr>
      <w:r w:rsidRPr="00B72873">
        <w:rPr>
          <w:rFonts w:ascii="Times New Roman" w:hAnsi="Times New Roman" w:cs="Times New Roman"/>
          <w:b/>
        </w:rPr>
        <w:t>Struktura branżowa ekspozycji w podziale na klasy.</w:t>
      </w:r>
    </w:p>
    <w:tbl>
      <w:tblPr>
        <w:tblW w:w="9570" w:type="dxa"/>
        <w:tblInd w:w="65" w:type="dxa"/>
        <w:tblLayout w:type="fixed"/>
        <w:tblCellMar>
          <w:left w:w="70" w:type="dxa"/>
          <w:right w:w="70" w:type="dxa"/>
        </w:tblCellMar>
        <w:tblLook w:val="04A0" w:firstRow="1" w:lastRow="0" w:firstColumn="1" w:lastColumn="0" w:noHBand="0" w:noVBand="1"/>
      </w:tblPr>
      <w:tblGrid>
        <w:gridCol w:w="2132"/>
        <w:gridCol w:w="1342"/>
        <w:gridCol w:w="1257"/>
        <w:gridCol w:w="1134"/>
        <w:gridCol w:w="1153"/>
        <w:gridCol w:w="1276"/>
        <w:gridCol w:w="1276"/>
      </w:tblGrid>
      <w:tr w:rsidR="005E7617" w:rsidRPr="00B43325" w14:paraId="0BD2164B" w14:textId="77777777" w:rsidTr="00B43325">
        <w:trPr>
          <w:trHeight w:val="1042"/>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007E8" w14:textId="77777777" w:rsidR="005E7617" w:rsidRPr="00B43325" w:rsidRDefault="005E7617" w:rsidP="00AE50B7">
            <w:pPr>
              <w:spacing w:after="0" w:line="240" w:lineRule="auto"/>
              <w:jc w:val="center"/>
              <w:rPr>
                <w:rFonts w:ascii="Times New Roman" w:eastAsia="Times New Roman" w:hAnsi="Times New Roman" w:cs="Times New Roman"/>
                <w:b/>
                <w:bCs/>
                <w:sz w:val="18"/>
                <w:szCs w:val="18"/>
                <w:lang w:eastAsia="pl-PL"/>
              </w:rPr>
            </w:pPr>
            <w:r w:rsidRPr="00B43325">
              <w:rPr>
                <w:rFonts w:ascii="Times New Roman" w:eastAsia="Times New Roman" w:hAnsi="Times New Roman" w:cs="Times New Roman"/>
                <w:b/>
                <w:bCs/>
                <w:sz w:val="18"/>
                <w:szCs w:val="18"/>
                <w:lang w:eastAsia="pl-PL"/>
              </w:rPr>
              <w:t>Sektor gospodarki</w:t>
            </w:r>
          </w:p>
        </w:tc>
        <w:tc>
          <w:tcPr>
            <w:tcW w:w="1342" w:type="dxa"/>
            <w:tcBorders>
              <w:top w:val="single" w:sz="4" w:space="0" w:color="auto"/>
              <w:left w:val="nil"/>
              <w:bottom w:val="single" w:sz="4" w:space="0" w:color="auto"/>
              <w:right w:val="single" w:sz="4" w:space="0" w:color="auto"/>
            </w:tcBorders>
            <w:vAlign w:val="center"/>
          </w:tcPr>
          <w:p w14:paraId="607BFDA9" w14:textId="77777777" w:rsidR="005E7617" w:rsidRPr="00B43325" w:rsidRDefault="005E7617" w:rsidP="00AE50B7">
            <w:pPr>
              <w:spacing w:after="0" w:line="240" w:lineRule="auto"/>
              <w:jc w:val="center"/>
              <w:rPr>
                <w:rFonts w:ascii="Times New Roman" w:eastAsia="Times New Roman" w:hAnsi="Times New Roman" w:cs="Times New Roman"/>
                <w:b/>
                <w:bCs/>
                <w:color w:val="000000"/>
                <w:sz w:val="18"/>
                <w:szCs w:val="18"/>
                <w:lang w:eastAsia="pl-PL"/>
              </w:rPr>
            </w:pPr>
            <w:r w:rsidRPr="00B43325">
              <w:rPr>
                <w:rFonts w:ascii="Times New Roman" w:eastAsia="Times New Roman" w:hAnsi="Times New Roman" w:cs="Times New Roman"/>
                <w:b/>
                <w:bCs/>
                <w:color w:val="000000"/>
                <w:sz w:val="18"/>
                <w:szCs w:val="18"/>
                <w:lang w:eastAsia="pl-PL"/>
              </w:rPr>
              <w:t>Należności normalne</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F26F2" w14:textId="77777777" w:rsidR="005E7617" w:rsidRPr="00B43325" w:rsidRDefault="005E7617" w:rsidP="00AE50B7">
            <w:pPr>
              <w:spacing w:after="0" w:line="240" w:lineRule="auto"/>
              <w:jc w:val="center"/>
              <w:rPr>
                <w:rFonts w:ascii="Times New Roman" w:eastAsia="Times New Roman" w:hAnsi="Times New Roman" w:cs="Times New Roman"/>
                <w:b/>
                <w:bCs/>
                <w:color w:val="000000"/>
                <w:sz w:val="18"/>
                <w:szCs w:val="18"/>
                <w:lang w:eastAsia="pl-PL"/>
              </w:rPr>
            </w:pPr>
            <w:r w:rsidRPr="00B43325">
              <w:rPr>
                <w:rFonts w:ascii="Times New Roman" w:eastAsia="Times New Roman" w:hAnsi="Times New Roman" w:cs="Times New Roman"/>
                <w:b/>
                <w:bCs/>
                <w:color w:val="000000"/>
                <w:sz w:val="18"/>
                <w:szCs w:val="18"/>
                <w:lang w:eastAsia="pl-PL"/>
              </w:rPr>
              <w:t>Należności pod obserwacją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45D0A1" w14:textId="77777777" w:rsidR="005E7617" w:rsidRPr="00B43325" w:rsidRDefault="005E7617" w:rsidP="00AE50B7">
            <w:pPr>
              <w:spacing w:after="0" w:line="240" w:lineRule="auto"/>
              <w:jc w:val="center"/>
              <w:rPr>
                <w:rFonts w:ascii="Times New Roman" w:eastAsia="Times New Roman" w:hAnsi="Times New Roman" w:cs="Times New Roman"/>
                <w:b/>
                <w:bCs/>
                <w:color w:val="000000"/>
                <w:sz w:val="18"/>
                <w:szCs w:val="18"/>
                <w:lang w:eastAsia="pl-PL"/>
              </w:rPr>
            </w:pPr>
            <w:r w:rsidRPr="00B43325">
              <w:rPr>
                <w:rFonts w:ascii="Times New Roman" w:eastAsia="Times New Roman" w:hAnsi="Times New Roman" w:cs="Times New Roman"/>
                <w:b/>
                <w:bCs/>
                <w:color w:val="000000"/>
                <w:sz w:val="18"/>
                <w:szCs w:val="18"/>
                <w:lang w:eastAsia="pl-PL"/>
              </w:rPr>
              <w:t>Należności poniżej standardu</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18618B9B" w14:textId="77777777" w:rsidR="005E7617" w:rsidRPr="00B43325" w:rsidRDefault="005E7617" w:rsidP="00AE50B7">
            <w:pPr>
              <w:spacing w:after="0" w:line="240" w:lineRule="auto"/>
              <w:jc w:val="center"/>
              <w:rPr>
                <w:rFonts w:ascii="Times New Roman" w:eastAsia="Times New Roman" w:hAnsi="Times New Roman" w:cs="Times New Roman"/>
                <w:b/>
                <w:bCs/>
                <w:color w:val="000000"/>
                <w:sz w:val="18"/>
                <w:szCs w:val="18"/>
                <w:lang w:eastAsia="pl-PL"/>
              </w:rPr>
            </w:pPr>
            <w:r w:rsidRPr="00B43325">
              <w:rPr>
                <w:rFonts w:ascii="Times New Roman" w:eastAsia="Times New Roman" w:hAnsi="Times New Roman" w:cs="Times New Roman"/>
                <w:b/>
                <w:bCs/>
                <w:color w:val="000000"/>
                <w:sz w:val="18"/>
                <w:szCs w:val="18"/>
                <w:lang w:eastAsia="pl-PL"/>
              </w:rPr>
              <w:t>Należności wątpliwe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3567FC" w14:textId="77777777" w:rsidR="005E7617" w:rsidRPr="00B43325" w:rsidRDefault="005E7617" w:rsidP="00AE50B7">
            <w:pPr>
              <w:spacing w:after="0" w:line="240" w:lineRule="auto"/>
              <w:jc w:val="center"/>
              <w:rPr>
                <w:rFonts w:ascii="Times New Roman" w:eastAsia="Times New Roman" w:hAnsi="Times New Roman" w:cs="Times New Roman"/>
                <w:b/>
                <w:bCs/>
                <w:color w:val="000000"/>
                <w:sz w:val="18"/>
                <w:szCs w:val="18"/>
                <w:lang w:eastAsia="pl-PL"/>
              </w:rPr>
            </w:pPr>
            <w:r w:rsidRPr="00B43325">
              <w:rPr>
                <w:rFonts w:ascii="Times New Roman" w:eastAsia="Times New Roman" w:hAnsi="Times New Roman" w:cs="Times New Roman"/>
                <w:b/>
                <w:bCs/>
                <w:color w:val="000000"/>
                <w:sz w:val="18"/>
                <w:szCs w:val="18"/>
                <w:lang w:eastAsia="pl-PL"/>
              </w:rPr>
              <w:t>Należności stracone</w:t>
            </w:r>
          </w:p>
        </w:tc>
        <w:tc>
          <w:tcPr>
            <w:tcW w:w="1276" w:type="dxa"/>
            <w:tcBorders>
              <w:top w:val="single" w:sz="4" w:space="0" w:color="auto"/>
              <w:left w:val="nil"/>
              <w:bottom w:val="single" w:sz="4" w:space="0" w:color="auto"/>
              <w:right w:val="single" w:sz="4" w:space="0" w:color="auto"/>
            </w:tcBorders>
          </w:tcPr>
          <w:p w14:paraId="28E334F8" w14:textId="77777777" w:rsidR="005E7617" w:rsidRPr="00B43325" w:rsidRDefault="005E7617" w:rsidP="00AE50B7">
            <w:pPr>
              <w:spacing w:after="0" w:line="240" w:lineRule="auto"/>
              <w:jc w:val="center"/>
              <w:rPr>
                <w:rFonts w:ascii="Times New Roman" w:eastAsia="Times New Roman" w:hAnsi="Times New Roman" w:cs="Times New Roman"/>
                <w:b/>
                <w:bCs/>
                <w:color w:val="000000"/>
                <w:sz w:val="18"/>
                <w:szCs w:val="18"/>
                <w:lang w:eastAsia="pl-PL"/>
              </w:rPr>
            </w:pPr>
          </w:p>
          <w:p w14:paraId="2F73E2D7" w14:textId="77777777" w:rsidR="005E7617" w:rsidRPr="00B43325" w:rsidRDefault="005E7617" w:rsidP="00AE50B7">
            <w:pPr>
              <w:spacing w:after="0" w:line="240" w:lineRule="auto"/>
              <w:jc w:val="center"/>
              <w:rPr>
                <w:rFonts w:ascii="Times New Roman" w:eastAsia="Times New Roman" w:hAnsi="Times New Roman" w:cs="Times New Roman"/>
                <w:b/>
                <w:bCs/>
                <w:color w:val="000000"/>
                <w:sz w:val="18"/>
                <w:szCs w:val="18"/>
                <w:lang w:eastAsia="pl-PL"/>
              </w:rPr>
            </w:pPr>
            <w:r w:rsidRPr="00B43325">
              <w:rPr>
                <w:rFonts w:ascii="Times New Roman" w:eastAsia="Times New Roman" w:hAnsi="Times New Roman" w:cs="Times New Roman"/>
                <w:b/>
                <w:bCs/>
                <w:color w:val="000000"/>
                <w:sz w:val="18"/>
                <w:szCs w:val="18"/>
                <w:lang w:eastAsia="pl-PL"/>
              </w:rPr>
              <w:t>Razem</w:t>
            </w:r>
          </w:p>
        </w:tc>
      </w:tr>
      <w:tr w:rsidR="00580CA6" w:rsidRPr="00B43325" w14:paraId="4A01A458" w14:textId="77777777" w:rsidTr="00B43325">
        <w:trPr>
          <w:trHeight w:val="54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5ADF9F7" w14:textId="6AF16470" w:rsidR="00580CA6" w:rsidRPr="00B43325" w:rsidRDefault="00580CA6" w:rsidP="00580CA6">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 Brak informacji ***</w:t>
            </w:r>
          </w:p>
        </w:tc>
        <w:tc>
          <w:tcPr>
            <w:tcW w:w="1342" w:type="dxa"/>
            <w:tcBorders>
              <w:top w:val="nil"/>
              <w:left w:val="nil"/>
              <w:bottom w:val="single" w:sz="4" w:space="0" w:color="auto"/>
              <w:right w:val="single" w:sz="4" w:space="0" w:color="auto"/>
            </w:tcBorders>
            <w:vAlign w:val="bottom"/>
          </w:tcPr>
          <w:p w14:paraId="4E5B2D7B" w14:textId="7211A520" w:rsidR="00580CA6" w:rsidRPr="00B43325" w:rsidRDefault="00580CA6" w:rsidP="00580CA6">
            <w:pPr>
              <w:spacing w:after="0" w:line="240" w:lineRule="auto"/>
              <w:ind w:right="72"/>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167 422,92</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AEC9CBB" w14:textId="2197E76F" w:rsidR="00580CA6" w:rsidRPr="00B43325" w:rsidRDefault="00580CA6" w:rsidP="00580CA6">
            <w:pPr>
              <w:spacing w:after="0" w:line="240" w:lineRule="auto"/>
              <w:jc w:val="right"/>
              <w:rPr>
                <w:rFonts w:ascii="Times New Roman" w:eastAsia="Times New Roman" w:hAnsi="Times New Roman" w:cs="Times New Roman"/>
                <w:bCs/>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15 000,00</w:t>
            </w:r>
          </w:p>
        </w:tc>
        <w:tc>
          <w:tcPr>
            <w:tcW w:w="1134" w:type="dxa"/>
            <w:tcBorders>
              <w:top w:val="nil"/>
              <w:left w:val="nil"/>
              <w:bottom w:val="single" w:sz="4" w:space="0" w:color="auto"/>
              <w:right w:val="single" w:sz="4" w:space="0" w:color="auto"/>
            </w:tcBorders>
            <w:shd w:val="clear" w:color="auto" w:fill="auto"/>
            <w:noWrap/>
            <w:vAlign w:val="bottom"/>
            <w:hideMark/>
          </w:tcPr>
          <w:p w14:paraId="02456BA2" w14:textId="55DC0B45"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vAlign w:val="bottom"/>
            <w:hideMark/>
          </w:tcPr>
          <w:p w14:paraId="3C3ED415" w14:textId="3CE3B81D"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hideMark/>
          </w:tcPr>
          <w:p w14:paraId="515B063E" w14:textId="305639FC"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2C0B567C" w14:textId="0B57C0C5"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182 422,92</w:t>
            </w:r>
          </w:p>
        </w:tc>
      </w:tr>
      <w:tr w:rsidR="00580CA6" w:rsidRPr="00B43325" w14:paraId="2EC660F9" w14:textId="77777777" w:rsidTr="00B43325">
        <w:trPr>
          <w:trHeight w:val="45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3C0AA0E1" w14:textId="78FEB9CA" w:rsidR="00580CA6" w:rsidRPr="00B43325" w:rsidRDefault="00B43325" w:rsidP="00580CA6">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Administracja publiczna i obrona narodowa; obowiązkowe zabezpieczenia społeczne</w:t>
            </w:r>
          </w:p>
        </w:tc>
        <w:tc>
          <w:tcPr>
            <w:tcW w:w="1342" w:type="dxa"/>
            <w:tcBorders>
              <w:top w:val="nil"/>
              <w:left w:val="nil"/>
              <w:bottom w:val="single" w:sz="4" w:space="0" w:color="auto"/>
              <w:right w:val="single" w:sz="4" w:space="0" w:color="auto"/>
            </w:tcBorders>
            <w:vAlign w:val="bottom"/>
          </w:tcPr>
          <w:p w14:paraId="7ECABA91" w14:textId="43FE3EF5"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10 558 444,01</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42643CEB" w14:textId="2DED6DE5" w:rsidR="00580CA6" w:rsidRPr="00B43325" w:rsidRDefault="00580CA6" w:rsidP="00580CA6">
            <w:pPr>
              <w:spacing w:after="0" w:line="240" w:lineRule="auto"/>
              <w:jc w:val="right"/>
              <w:rPr>
                <w:rFonts w:ascii="Times New Roman" w:eastAsia="Times New Roman" w:hAnsi="Times New Roman" w:cs="Times New Roman"/>
                <w:bCs/>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hideMark/>
          </w:tcPr>
          <w:p w14:paraId="1A81E11C" w14:textId="78EFCE4F"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hideMark/>
          </w:tcPr>
          <w:p w14:paraId="03A5AB91" w14:textId="1F4197EB"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hideMark/>
          </w:tcPr>
          <w:p w14:paraId="05B39C97" w14:textId="3CD53342"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568B0833" w14:textId="2ED1690C"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10 558 444,01</w:t>
            </w:r>
          </w:p>
        </w:tc>
      </w:tr>
      <w:tr w:rsidR="00580CA6" w:rsidRPr="00B43325" w14:paraId="55D9C927" w14:textId="77777777" w:rsidTr="00B43325">
        <w:trPr>
          <w:trHeight w:val="618"/>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0B82FF23" w14:textId="7B0125FF" w:rsidR="00580CA6" w:rsidRPr="00B43325" w:rsidRDefault="00B43325" w:rsidP="00580CA6">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Budownictwo</w:t>
            </w:r>
          </w:p>
        </w:tc>
        <w:tc>
          <w:tcPr>
            <w:tcW w:w="1342" w:type="dxa"/>
            <w:tcBorders>
              <w:top w:val="nil"/>
              <w:left w:val="nil"/>
              <w:bottom w:val="single" w:sz="4" w:space="0" w:color="auto"/>
              <w:right w:val="single" w:sz="4" w:space="0" w:color="auto"/>
            </w:tcBorders>
            <w:vAlign w:val="bottom"/>
          </w:tcPr>
          <w:p w14:paraId="3B828A8D" w14:textId="2D94A96E"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2 764 311,38</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1A0A1CD7" w14:textId="280E91BA" w:rsidR="00580CA6" w:rsidRPr="00B43325" w:rsidRDefault="00580CA6" w:rsidP="00580CA6">
            <w:pPr>
              <w:spacing w:after="0" w:line="240" w:lineRule="auto"/>
              <w:jc w:val="right"/>
              <w:rPr>
                <w:rFonts w:ascii="Times New Roman" w:eastAsia="Times New Roman" w:hAnsi="Times New Roman" w:cs="Times New Roman"/>
                <w:bCs/>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134 793,78</w:t>
            </w:r>
          </w:p>
        </w:tc>
        <w:tc>
          <w:tcPr>
            <w:tcW w:w="1134" w:type="dxa"/>
            <w:tcBorders>
              <w:top w:val="nil"/>
              <w:left w:val="nil"/>
              <w:bottom w:val="single" w:sz="4" w:space="0" w:color="auto"/>
              <w:right w:val="single" w:sz="4" w:space="0" w:color="auto"/>
            </w:tcBorders>
            <w:shd w:val="clear" w:color="auto" w:fill="auto"/>
            <w:noWrap/>
            <w:vAlign w:val="bottom"/>
            <w:hideMark/>
          </w:tcPr>
          <w:p w14:paraId="695F5C4D" w14:textId="22CAA782"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hideMark/>
          </w:tcPr>
          <w:p w14:paraId="0A64F2BB" w14:textId="072D32C3"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hideMark/>
          </w:tcPr>
          <w:p w14:paraId="5DC0B3F8" w14:textId="7E271119"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68 004,45</w:t>
            </w:r>
          </w:p>
        </w:tc>
        <w:tc>
          <w:tcPr>
            <w:tcW w:w="1276" w:type="dxa"/>
            <w:tcBorders>
              <w:top w:val="nil"/>
              <w:left w:val="nil"/>
              <w:bottom w:val="single" w:sz="4" w:space="0" w:color="auto"/>
              <w:right w:val="single" w:sz="4" w:space="0" w:color="auto"/>
            </w:tcBorders>
            <w:vAlign w:val="bottom"/>
          </w:tcPr>
          <w:p w14:paraId="44C5083C" w14:textId="4FDE767E"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2 967 109,61</w:t>
            </w:r>
          </w:p>
        </w:tc>
      </w:tr>
      <w:tr w:rsidR="00580CA6" w:rsidRPr="00B43325" w14:paraId="186ED257"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1F06B177" w14:textId="1BCC6E68" w:rsidR="00580CA6" w:rsidRPr="00B43325" w:rsidRDefault="00B43325" w:rsidP="00580CA6">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Działalność profesjonalna, naukowa i techniczna</w:t>
            </w:r>
          </w:p>
        </w:tc>
        <w:tc>
          <w:tcPr>
            <w:tcW w:w="1342" w:type="dxa"/>
            <w:tcBorders>
              <w:top w:val="nil"/>
              <w:left w:val="nil"/>
              <w:bottom w:val="single" w:sz="4" w:space="0" w:color="auto"/>
              <w:right w:val="single" w:sz="4" w:space="0" w:color="auto"/>
            </w:tcBorders>
            <w:vAlign w:val="bottom"/>
          </w:tcPr>
          <w:p w14:paraId="5ED2E2F8" w14:textId="6EF25308"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923 346,09</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5B5A1B89" w14:textId="63CCEA80" w:rsidR="00580CA6" w:rsidRPr="00B43325" w:rsidRDefault="00580CA6" w:rsidP="00580CA6">
            <w:pPr>
              <w:spacing w:after="0" w:line="240" w:lineRule="auto"/>
              <w:jc w:val="right"/>
              <w:rPr>
                <w:rFonts w:ascii="Times New Roman" w:eastAsia="Times New Roman" w:hAnsi="Times New Roman" w:cs="Times New Roman"/>
                <w:bCs/>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hideMark/>
          </w:tcPr>
          <w:p w14:paraId="2ADF2FA3" w14:textId="482AF0FD"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vAlign w:val="bottom"/>
            <w:hideMark/>
          </w:tcPr>
          <w:p w14:paraId="4F334406" w14:textId="7F4203F4"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hideMark/>
          </w:tcPr>
          <w:p w14:paraId="7CC582C7" w14:textId="3B018225"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4036FC03" w14:textId="2891E992"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923 346,09</w:t>
            </w:r>
          </w:p>
        </w:tc>
      </w:tr>
      <w:tr w:rsidR="00580CA6" w:rsidRPr="00B43325" w14:paraId="7EA01E2B" w14:textId="77777777" w:rsidTr="00B43325">
        <w:trPr>
          <w:trHeight w:val="285"/>
        </w:trPr>
        <w:tc>
          <w:tcPr>
            <w:tcW w:w="2132" w:type="dxa"/>
            <w:tcBorders>
              <w:top w:val="nil"/>
              <w:left w:val="single" w:sz="4" w:space="0" w:color="auto"/>
              <w:bottom w:val="single" w:sz="4" w:space="0" w:color="auto"/>
              <w:right w:val="single" w:sz="4" w:space="0" w:color="auto"/>
            </w:tcBorders>
            <w:shd w:val="clear" w:color="auto" w:fill="auto"/>
            <w:vAlign w:val="bottom"/>
          </w:tcPr>
          <w:p w14:paraId="6E87FF83" w14:textId="0936BD80" w:rsidR="00580CA6" w:rsidRPr="00B43325" w:rsidRDefault="00B43325" w:rsidP="00580CA6">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Działalność w zakresie usług administrowania i działalność wspierająca</w:t>
            </w:r>
          </w:p>
        </w:tc>
        <w:tc>
          <w:tcPr>
            <w:tcW w:w="1342" w:type="dxa"/>
            <w:tcBorders>
              <w:top w:val="nil"/>
              <w:left w:val="nil"/>
              <w:bottom w:val="single" w:sz="4" w:space="0" w:color="auto"/>
              <w:right w:val="single" w:sz="4" w:space="0" w:color="auto"/>
            </w:tcBorders>
            <w:vAlign w:val="bottom"/>
          </w:tcPr>
          <w:p w14:paraId="72622F5C" w14:textId="7B5895B6"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548 068,30</w:t>
            </w:r>
          </w:p>
        </w:tc>
        <w:tc>
          <w:tcPr>
            <w:tcW w:w="1257" w:type="dxa"/>
            <w:tcBorders>
              <w:top w:val="nil"/>
              <w:left w:val="single" w:sz="4" w:space="0" w:color="auto"/>
              <w:bottom w:val="single" w:sz="4" w:space="0" w:color="auto"/>
              <w:right w:val="single" w:sz="4" w:space="0" w:color="auto"/>
            </w:tcBorders>
            <w:shd w:val="clear" w:color="auto" w:fill="auto"/>
            <w:noWrap/>
            <w:vAlign w:val="bottom"/>
          </w:tcPr>
          <w:p w14:paraId="3BBFD67B" w14:textId="75FC2A73" w:rsidR="00580CA6" w:rsidRPr="00B43325" w:rsidRDefault="00580CA6" w:rsidP="00580CA6">
            <w:pPr>
              <w:spacing w:after="0" w:line="240" w:lineRule="auto"/>
              <w:jc w:val="right"/>
              <w:rPr>
                <w:rFonts w:ascii="Times New Roman" w:eastAsia="Times New Roman" w:hAnsi="Times New Roman" w:cs="Times New Roman"/>
                <w:bCs/>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tcPr>
          <w:p w14:paraId="4994027A" w14:textId="71CC25EC"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tcPr>
          <w:p w14:paraId="4E2FDB56" w14:textId="1B2F7BDB"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tcPr>
          <w:p w14:paraId="1CFE43FE" w14:textId="6A65CCAB"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61832144" w14:textId="0667EA29"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548 068,30</w:t>
            </w:r>
          </w:p>
        </w:tc>
      </w:tr>
      <w:tr w:rsidR="00580CA6" w:rsidRPr="00B43325" w14:paraId="3A8C7BD4" w14:textId="77777777" w:rsidTr="00B43325">
        <w:trPr>
          <w:trHeight w:val="285"/>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5FB24A1C" w14:textId="5746664C" w:rsidR="00580CA6" w:rsidRPr="00B43325" w:rsidRDefault="00B43325" w:rsidP="00580CA6">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Działalność związana z zakwaterowaniem i usługami gastronomicznymi</w:t>
            </w:r>
          </w:p>
        </w:tc>
        <w:tc>
          <w:tcPr>
            <w:tcW w:w="1342" w:type="dxa"/>
            <w:tcBorders>
              <w:top w:val="nil"/>
              <w:left w:val="nil"/>
              <w:bottom w:val="single" w:sz="4" w:space="0" w:color="auto"/>
              <w:right w:val="single" w:sz="4" w:space="0" w:color="auto"/>
            </w:tcBorders>
            <w:vAlign w:val="bottom"/>
          </w:tcPr>
          <w:p w14:paraId="55D202FD" w14:textId="5BFD2E80"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4C9968C" w14:textId="149E8724" w:rsidR="00580CA6" w:rsidRPr="00B43325" w:rsidRDefault="00580CA6" w:rsidP="00580CA6">
            <w:pPr>
              <w:spacing w:after="0" w:line="240" w:lineRule="auto"/>
              <w:jc w:val="right"/>
              <w:rPr>
                <w:rFonts w:ascii="Times New Roman" w:eastAsia="Times New Roman" w:hAnsi="Times New Roman" w:cs="Times New Roman"/>
                <w:bCs/>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hideMark/>
          </w:tcPr>
          <w:p w14:paraId="74A1759D" w14:textId="50ACD2AA"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hideMark/>
          </w:tcPr>
          <w:p w14:paraId="7129F281" w14:textId="16AA4D83"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hideMark/>
          </w:tcPr>
          <w:p w14:paraId="71494369" w14:textId="3DBEFF8B"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5 208,74</w:t>
            </w:r>
          </w:p>
        </w:tc>
        <w:tc>
          <w:tcPr>
            <w:tcW w:w="1276" w:type="dxa"/>
            <w:tcBorders>
              <w:top w:val="nil"/>
              <w:left w:val="nil"/>
              <w:bottom w:val="single" w:sz="4" w:space="0" w:color="auto"/>
              <w:right w:val="single" w:sz="4" w:space="0" w:color="auto"/>
            </w:tcBorders>
            <w:vAlign w:val="bottom"/>
          </w:tcPr>
          <w:p w14:paraId="22ABF96C" w14:textId="109BDFDC"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5 208,74</w:t>
            </w:r>
          </w:p>
        </w:tc>
      </w:tr>
      <w:tr w:rsidR="00580CA6" w:rsidRPr="00B43325" w14:paraId="117E2871"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3A773474" w14:textId="2609E6E4" w:rsidR="00580CA6" w:rsidRPr="00B43325" w:rsidRDefault="00B43325" w:rsidP="00580CA6">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Edukacja</w:t>
            </w:r>
          </w:p>
        </w:tc>
        <w:tc>
          <w:tcPr>
            <w:tcW w:w="1342" w:type="dxa"/>
            <w:tcBorders>
              <w:top w:val="nil"/>
              <w:left w:val="nil"/>
              <w:bottom w:val="single" w:sz="4" w:space="0" w:color="auto"/>
              <w:right w:val="single" w:sz="4" w:space="0" w:color="auto"/>
            </w:tcBorders>
            <w:vAlign w:val="bottom"/>
          </w:tcPr>
          <w:p w14:paraId="0A242813" w14:textId="2D1F079E"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663 962,51</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282223E4" w14:textId="12F1F590" w:rsidR="00580CA6" w:rsidRPr="00B43325" w:rsidRDefault="00580CA6" w:rsidP="00580CA6">
            <w:pPr>
              <w:spacing w:after="0" w:line="240" w:lineRule="auto"/>
              <w:jc w:val="right"/>
              <w:rPr>
                <w:rFonts w:ascii="Times New Roman" w:eastAsia="Times New Roman" w:hAnsi="Times New Roman" w:cs="Times New Roman"/>
                <w:bCs/>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hideMark/>
          </w:tcPr>
          <w:p w14:paraId="40C7A424" w14:textId="45E8DF12"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hideMark/>
          </w:tcPr>
          <w:p w14:paraId="45F0C967" w14:textId="351839C4"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hideMark/>
          </w:tcPr>
          <w:p w14:paraId="416B4378" w14:textId="5839BF0E"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4B081E45" w14:textId="40B2D562" w:rsidR="00580CA6" w:rsidRPr="00B43325" w:rsidRDefault="00580CA6" w:rsidP="00580CA6">
            <w:pPr>
              <w:spacing w:after="0" w:line="240" w:lineRule="auto"/>
              <w:jc w:val="right"/>
              <w:rPr>
                <w:rFonts w:ascii="Times New Roman" w:eastAsia="Times New Roman" w:hAnsi="Times New Roman" w:cs="Times New Roman"/>
                <w:color w:val="000000" w:themeColor="text1"/>
                <w:sz w:val="18"/>
                <w:szCs w:val="18"/>
                <w:lang w:eastAsia="pl-PL"/>
              </w:rPr>
            </w:pPr>
            <w:r w:rsidRPr="00B43325">
              <w:rPr>
                <w:rFonts w:ascii="Times New Roman" w:eastAsia="Times New Roman" w:hAnsi="Times New Roman" w:cs="Times New Roman"/>
                <w:color w:val="000000"/>
                <w:sz w:val="18"/>
                <w:szCs w:val="18"/>
                <w:lang w:eastAsia="pl-PL"/>
              </w:rPr>
              <w:t>663 962,51</w:t>
            </w:r>
          </w:p>
        </w:tc>
      </w:tr>
      <w:tr w:rsidR="00580CA6" w:rsidRPr="00B43325" w14:paraId="2889493A" w14:textId="77777777" w:rsidTr="00B43325">
        <w:trPr>
          <w:trHeight w:val="450"/>
        </w:trPr>
        <w:tc>
          <w:tcPr>
            <w:tcW w:w="2132" w:type="dxa"/>
            <w:tcBorders>
              <w:top w:val="nil"/>
              <w:left w:val="single" w:sz="4" w:space="0" w:color="auto"/>
              <w:bottom w:val="single" w:sz="4" w:space="0" w:color="auto"/>
              <w:right w:val="single" w:sz="4" w:space="0" w:color="auto"/>
            </w:tcBorders>
            <w:shd w:val="clear" w:color="auto" w:fill="auto"/>
            <w:vAlign w:val="bottom"/>
            <w:hideMark/>
          </w:tcPr>
          <w:p w14:paraId="2FE235B1" w14:textId="38C60591" w:rsidR="00580CA6" w:rsidRPr="00B43325" w:rsidRDefault="00B43325" w:rsidP="00580CA6">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Górnictwo i wydobywanie</w:t>
            </w:r>
          </w:p>
        </w:tc>
        <w:tc>
          <w:tcPr>
            <w:tcW w:w="1342" w:type="dxa"/>
            <w:tcBorders>
              <w:top w:val="nil"/>
              <w:left w:val="nil"/>
              <w:bottom w:val="single" w:sz="4" w:space="0" w:color="auto"/>
              <w:right w:val="single" w:sz="4" w:space="0" w:color="auto"/>
            </w:tcBorders>
            <w:vAlign w:val="bottom"/>
          </w:tcPr>
          <w:p w14:paraId="14329B73" w14:textId="6D9F915D" w:rsidR="00580CA6" w:rsidRPr="00B43325" w:rsidRDefault="00580CA6" w:rsidP="00580CA6">
            <w:pPr>
              <w:spacing w:after="0" w:line="240" w:lineRule="auto"/>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0</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74823D93" w14:textId="5C45050F"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hideMark/>
          </w:tcPr>
          <w:p w14:paraId="43813673" w14:textId="721715FB" w:rsidR="00580CA6" w:rsidRPr="00B43325" w:rsidRDefault="00580CA6" w:rsidP="00580CA6">
            <w:pPr>
              <w:spacing w:after="0" w:line="240" w:lineRule="auto"/>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hideMark/>
          </w:tcPr>
          <w:p w14:paraId="4F12B1F8" w14:textId="0F09C09A" w:rsidR="00580CA6" w:rsidRPr="00B43325" w:rsidRDefault="00580CA6" w:rsidP="00580CA6">
            <w:pPr>
              <w:spacing w:after="0" w:line="240" w:lineRule="auto"/>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hideMark/>
          </w:tcPr>
          <w:p w14:paraId="1B4248EB" w14:textId="08EE41D3" w:rsidR="00580CA6" w:rsidRPr="00B43325" w:rsidRDefault="00580CA6" w:rsidP="00580CA6">
            <w:pPr>
              <w:spacing w:after="0" w:line="240" w:lineRule="auto"/>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277 142,56</w:t>
            </w:r>
          </w:p>
        </w:tc>
        <w:tc>
          <w:tcPr>
            <w:tcW w:w="1276" w:type="dxa"/>
            <w:tcBorders>
              <w:top w:val="nil"/>
              <w:left w:val="nil"/>
              <w:bottom w:val="single" w:sz="4" w:space="0" w:color="auto"/>
              <w:right w:val="single" w:sz="4" w:space="0" w:color="auto"/>
            </w:tcBorders>
            <w:vAlign w:val="bottom"/>
          </w:tcPr>
          <w:p w14:paraId="58F42055" w14:textId="484A0C4B" w:rsidR="00580CA6" w:rsidRPr="00B43325" w:rsidRDefault="00580CA6" w:rsidP="00580CA6">
            <w:pPr>
              <w:spacing w:after="0" w:line="240" w:lineRule="auto"/>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277 142,56</w:t>
            </w:r>
          </w:p>
        </w:tc>
      </w:tr>
      <w:tr w:rsidR="00580CA6" w:rsidRPr="00B43325" w14:paraId="021B2649"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5CB0293" w14:textId="17047F73" w:rsidR="00580CA6" w:rsidRPr="00B43325" w:rsidRDefault="00B43325" w:rsidP="00580CA6">
            <w:pPr>
              <w:spacing w:after="0" w:line="240" w:lineRule="auto"/>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Handel hurtowy i detaliczny; naprawa pojazdów samochodowych, włączając motocykle</w:t>
            </w:r>
          </w:p>
        </w:tc>
        <w:tc>
          <w:tcPr>
            <w:tcW w:w="1342" w:type="dxa"/>
            <w:tcBorders>
              <w:top w:val="nil"/>
              <w:left w:val="nil"/>
              <w:bottom w:val="single" w:sz="4" w:space="0" w:color="auto"/>
              <w:right w:val="single" w:sz="4" w:space="0" w:color="auto"/>
            </w:tcBorders>
            <w:vAlign w:val="bottom"/>
          </w:tcPr>
          <w:p w14:paraId="482E8656" w14:textId="7DCC4147"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1 087 036,49</w:t>
            </w:r>
          </w:p>
        </w:tc>
        <w:tc>
          <w:tcPr>
            <w:tcW w:w="1257" w:type="dxa"/>
            <w:tcBorders>
              <w:top w:val="nil"/>
              <w:left w:val="single" w:sz="4" w:space="0" w:color="auto"/>
              <w:bottom w:val="single" w:sz="4" w:space="0" w:color="auto"/>
              <w:right w:val="single" w:sz="4" w:space="0" w:color="auto"/>
            </w:tcBorders>
            <w:shd w:val="clear" w:color="auto" w:fill="auto"/>
            <w:noWrap/>
            <w:vAlign w:val="bottom"/>
          </w:tcPr>
          <w:p w14:paraId="3BE46F47" w14:textId="5173704D"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1 257 976,21</w:t>
            </w:r>
          </w:p>
        </w:tc>
        <w:tc>
          <w:tcPr>
            <w:tcW w:w="1134" w:type="dxa"/>
            <w:tcBorders>
              <w:top w:val="nil"/>
              <w:left w:val="nil"/>
              <w:bottom w:val="single" w:sz="4" w:space="0" w:color="auto"/>
              <w:right w:val="single" w:sz="4" w:space="0" w:color="auto"/>
            </w:tcBorders>
            <w:shd w:val="clear" w:color="auto" w:fill="auto"/>
            <w:noWrap/>
            <w:vAlign w:val="bottom"/>
          </w:tcPr>
          <w:p w14:paraId="458DCF0F" w14:textId="4A16C628"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109 638,95</w:t>
            </w:r>
          </w:p>
        </w:tc>
        <w:tc>
          <w:tcPr>
            <w:tcW w:w="1153" w:type="dxa"/>
            <w:tcBorders>
              <w:top w:val="nil"/>
              <w:left w:val="nil"/>
              <w:bottom w:val="single" w:sz="4" w:space="0" w:color="auto"/>
              <w:right w:val="single" w:sz="4" w:space="0" w:color="auto"/>
            </w:tcBorders>
            <w:shd w:val="clear" w:color="auto" w:fill="auto"/>
            <w:noWrap/>
            <w:vAlign w:val="bottom"/>
          </w:tcPr>
          <w:p w14:paraId="6C4D4B3D" w14:textId="7426B086"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tcPr>
          <w:p w14:paraId="6C4C465D" w14:textId="6E7306C4"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45344A82" w14:textId="66DDE8CD"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2 454 651,65</w:t>
            </w:r>
          </w:p>
        </w:tc>
      </w:tr>
      <w:tr w:rsidR="00580CA6" w:rsidRPr="00B43325" w14:paraId="64B16634"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69875D1" w14:textId="0D5BE689" w:rsidR="00580CA6" w:rsidRPr="00B43325" w:rsidRDefault="00B43325" w:rsidP="00580CA6">
            <w:pPr>
              <w:spacing w:after="0" w:line="240" w:lineRule="auto"/>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Informacja i komunikacja</w:t>
            </w:r>
          </w:p>
        </w:tc>
        <w:tc>
          <w:tcPr>
            <w:tcW w:w="1342" w:type="dxa"/>
            <w:tcBorders>
              <w:top w:val="nil"/>
              <w:left w:val="nil"/>
              <w:bottom w:val="single" w:sz="4" w:space="0" w:color="auto"/>
              <w:right w:val="single" w:sz="4" w:space="0" w:color="auto"/>
            </w:tcBorders>
            <w:vAlign w:val="bottom"/>
          </w:tcPr>
          <w:p w14:paraId="01ECAEB8" w14:textId="063A5E3F"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244 511,00</w:t>
            </w:r>
          </w:p>
        </w:tc>
        <w:tc>
          <w:tcPr>
            <w:tcW w:w="1257" w:type="dxa"/>
            <w:tcBorders>
              <w:top w:val="nil"/>
              <w:left w:val="single" w:sz="4" w:space="0" w:color="auto"/>
              <w:bottom w:val="single" w:sz="4" w:space="0" w:color="auto"/>
              <w:right w:val="single" w:sz="4" w:space="0" w:color="auto"/>
            </w:tcBorders>
            <w:shd w:val="clear" w:color="auto" w:fill="auto"/>
            <w:noWrap/>
            <w:vAlign w:val="bottom"/>
          </w:tcPr>
          <w:p w14:paraId="6FF78083" w14:textId="50183835"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tcPr>
          <w:p w14:paraId="050A203A" w14:textId="7329FB25"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tcPr>
          <w:p w14:paraId="7082F436" w14:textId="5C98B728"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tcPr>
          <w:p w14:paraId="6ADF9CB9" w14:textId="3B7BB8DD"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1F8C4EA2" w14:textId="248EA48B"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244 511,00</w:t>
            </w:r>
          </w:p>
        </w:tc>
      </w:tr>
      <w:tr w:rsidR="00580CA6" w:rsidRPr="00B43325" w14:paraId="407F4638"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4AAD26E" w14:textId="573ECC45" w:rsidR="00580CA6" w:rsidRPr="00B43325" w:rsidRDefault="00B43325" w:rsidP="00580CA6">
            <w:pPr>
              <w:spacing w:after="0" w:line="240" w:lineRule="auto"/>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Opieka zdrowotna i pomoc społeczna</w:t>
            </w:r>
          </w:p>
        </w:tc>
        <w:tc>
          <w:tcPr>
            <w:tcW w:w="1342" w:type="dxa"/>
            <w:tcBorders>
              <w:top w:val="nil"/>
              <w:left w:val="nil"/>
              <w:bottom w:val="single" w:sz="4" w:space="0" w:color="auto"/>
              <w:right w:val="single" w:sz="4" w:space="0" w:color="auto"/>
            </w:tcBorders>
            <w:vAlign w:val="bottom"/>
          </w:tcPr>
          <w:p w14:paraId="28576AE7" w14:textId="57F14C61"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47 771,92</w:t>
            </w:r>
          </w:p>
        </w:tc>
        <w:tc>
          <w:tcPr>
            <w:tcW w:w="1257" w:type="dxa"/>
            <w:tcBorders>
              <w:top w:val="nil"/>
              <w:left w:val="single" w:sz="4" w:space="0" w:color="auto"/>
              <w:bottom w:val="single" w:sz="4" w:space="0" w:color="auto"/>
              <w:right w:val="single" w:sz="4" w:space="0" w:color="auto"/>
            </w:tcBorders>
            <w:shd w:val="clear" w:color="auto" w:fill="auto"/>
            <w:noWrap/>
            <w:vAlign w:val="bottom"/>
          </w:tcPr>
          <w:p w14:paraId="3CACE873" w14:textId="14194186"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tcPr>
          <w:p w14:paraId="505E5706" w14:textId="6186D527"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tcPr>
          <w:p w14:paraId="4E3D5373" w14:textId="1D79B0DD"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tcPr>
          <w:p w14:paraId="21B74D8D" w14:textId="165B2478"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1026EDD9" w14:textId="52C44B5D"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47 771,92</w:t>
            </w:r>
          </w:p>
        </w:tc>
      </w:tr>
      <w:tr w:rsidR="00580CA6" w:rsidRPr="00B43325" w14:paraId="7983AF2C"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DB5A882" w14:textId="76807C9C" w:rsidR="00580CA6" w:rsidRPr="00B43325" w:rsidRDefault="00B43325" w:rsidP="00580CA6">
            <w:pPr>
              <w:spacing w:after="0" w:line="240" w:lineRule="auto"/>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Pozostała działalność usługowa</w:t>
            </w:r>
          </w:p>
        </w:tc>
        <w:tc>
          <w:tcPr>
            <w:tcW w:w="1342" w:type="dxa"/>
            <w:tcBorders>
              <w:top w:val="nil"/>
              <w:left w:val="nil"/>
              <w:bottom w:val="single" w:sz="4" w:space="0" w:color="auto"/>
              <w:right w:val="single" w:sz="4" w:space="0" w:color="auto"/>
            </w:tcBorders>
            <w:vAlign w:val="bottom"/>
          </w:tcPr>
          <w:p w14:paraId="6D0E7F15" w14:textId="6C92B96C"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2 197,18</w:t>
            </w:r>
          </w:p>
        </w:tc>
        <w:tc>
          <w:tcPr>
            <w:tcW w:w="1257" w:type="dxa"/>
            <w:tcBorders>
              <w:top w:val="nil"/>
              <w:left w:val="single" w:sz="4" w:space="0" w:color="auto"/>
              <w:bottom w:val="single" w:sz="4" w:space="0" w:color="auto"/>
              <w:right w:val="single" w:sz="4" w:space="0" w:color="auto"/>
            </w:tcBorders>
            <w:shd w:val="clear" w:color="auto" w:fill="auto"/>
            <w:noWrap/>
            <w:vAlign w:val="bottom"/>
          </w:tcPr>
          <w:p w14:paraId="602E2C35" w14:textId="40095ADE"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tcPr>
          <w:p w14:paraId="6662D687" w14:textId="40D7E019"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tcPr>
          <w:p w14:paraId="78CCDABF" w14:textId="359D435C"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tcPr>
          <w:p w14:paraId="65F0CC31" w14:textId="167F5E2E"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61D668E9" w14:textId="4DC5CAAC"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2 197,18</w:t>
            </w:r>
          </w:p>
        </w:tc>
      </w:tr>
      <w:tr w:rsidR="00580CA6" w:rsidRPr="00B43325" w14:paraId="3E831AF5"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BE426D7" w14:textId="4996ADBD" w:rsidR="00580CA6" w:rsidRPr="00B43325" w:rsidRDefault="00B43325" w:rsidP="00580CA6">
            <w:pPr>
              <w:spacing w:after="0" w:line="240" w:lineRule="auto"/>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Przetwórstwo przemysłowe</w:t>
            </w:r>
          </w:p>
        </w:tc>
        <w:tc>
          <w:tcPr>
            <w:tcW w:w="1342" w:type="dxa"/>
            <w:tcBorders>
              <w:top w:val="nil"/>
              <w:left w:val="nil"/>
              <w:bottom w:val="single" w:sz="4" w:space="0" w:color="auto"/>
              <w:right w:val="single" w:sz="4" w:space="0" w:color="auto"/>
            </w:tcBorders>
            <w:vAlign w:val="bottom"/>
          </w:tcPr>
          <w:p w14:paraId="0AB2E9B0" w14:textId="624910B5"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3 186 089,86</w:t>
            </w:r>
          </w:p>
        </w:tc>
        <w:tc>
          <w:tcPr>
            <w:tcW w:w="1257" w:type="dxa"/>
            <w:tcBorders>
              <w:top w:val="nil"/>
              <w:left w:val="single" w:sz="4" w:space="0" w:color="auto"/>
              <w:bottom w:val="single" w:sz="4" w:space="0" w:color="auto"/>
              <w:right w:val="single" w:sz="4" w:space="0" w:color="auto"/>
            </w:tcBorders>
            <w:shd w:val="clear" w:color="auto" w:fill="auto"/>
            <w:noWrap/>
            <w:vAlign w:val="bottom"/>
          </w:tcPr>
          <w:p w14:paraId="0CBBC7C7" w14:textId="2688CF52"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tcPr>
          <w:p w14:paraId="1AEBD1AC" w14:textId="4E4202F4"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10 231,65</w:t>
            </w:r>
          </w:p>
        </w:tc>
        <w:tc>
          <w:tcPr>
            <w:tcW w:w="1153" w:type="dxa"/>
            <w:tcBorders>
              <w:top w:val="nil"/>
              <w:left w:val="nil"/>
              <w:bottom w:val="single" w:sz="4" w:space="0" w:color="auto"/>
              <w:right w:val="single" w:sz="4" w:space="0" w:color="auto"/>
            </w:tcBorders>
            <w:shd w:val="clear" w:color="auto" w:fill="auto"/>
            <w:noWrap/>
            <w:vAlign w:val="bottom"/>
          </w:tcPr>
          <w:p w14:paraId="63D765AF" w14:textId="30902D6F"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tcPr>
          <w:p w14:paraId="5964DF3D" w14:textId="7A9D7DED"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0DD4F9E2" w14:textId="7F520734"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3 196 321,51</w:t>
            </w:r>
          </w:p>
        </w:tc>
      </w:tr>
      <w:tr w:rsidR="00580CA6" w:rsidRPr="00B43325" w14:paraId="6429D061"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6AE0A43" w14:textId="2CC67B22" w:rsidR="00580CA6" w:rsidRPr="00B43325" w:rsidRDefault="00B43325" w:rsidP="00580CA6">
            <w:pPr>
              <w:spacing w:after="0" w:line="240" w:lineRule="auto"/>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Rolnictwo, leśnictwo, łowiectwo i rybactwo</w:t>
            </w:r>
          </w:p>
        </w:tc>
        <w:tc>
          <w:tcPr>
            <w:tcW w:w="1342" w:type="dxa"/>
            <w:tcBorders>
              <w:top w:val="nil"/>
              <w:left w:val="nil"/>
              <w:bottom w:val="single" w:sz="4" w:space="0" w:color="auto"/>
              <w:right w:val="single" w:sz="4" w:space="0" w:color="auto"/>
            </w:tcBorders>
            <w:vAlign w:val="bottom"/>
          </w:tcPr>
          <w:p w14:paraId="1DCC7D57" w14:textId="74D2321E"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68 925,18</w:t>
            </w:r>
          </w:p>
        </w:tc>
        <w:tc>
          <w:tcPr>
            <w:tcW w:w="1257" w:type="dxa"/>
            <w:tcBorders>
              <w:top w:val="nil"/>
              <w:left w:val="single" w:sz="4" w:space="0" w:color="auto"/>
              <w:bottom w:val="single" w:sz="4" w:space="0" w:color="auto"/>
              <w:right w:val="single" w:sz="4" w:space="0" w:color="auto"/>
            </w:tcBorders>
            <w:shd w:val="clear" w:color="auto" w:fill="auto"/>
            <w:noWrap/>
            <w:vAlign w:val="bottom"/>
          </w:tcPr>
          <w:p w14:paraId="48F133A5" w14:textId="5CBCC973"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tcPr>
          <w:p w14:paraId="68570DE4" w14:textId="7C5BBD04"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53" w:type="dxa"/>
            <w:tcBorders>
              <w:top w:val="nil"/>
              <w:left w:val="nil"/>
              <w:bottom w:val="single" w:sz="4" w:space="0" w:color="auto"/>
              <w:right w:val="single" w:sz="4" w:space="0" w:color="auto"/>
            </w:tcBorders>
            <w:shd w:val="clear" w:color="auto" w:fill="auto"/>
            <w:noWrap/>
            <w:vAlign w:val="bottom"/>
          </w:tcPr>
          <w:p w14:paraId="6EBCD292" w14:textId="7D2F357E"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tcPr>
          <w:p w14:paraId="5CE716B6" w14:textId="5F4D8EC7"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285F1EB5" w14:textId="441C8D74"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68 925,18</w:t>
            </w:r>
          </w:p>
        </w:tc>
      </w:tr>
      <w:tr w:rsidR="00580CA6" w:rsidRPr="00B43325" w14:paraId="017CDF75"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32C1625" w14:textId="0BE9377E" w:rsidR="00580CA6" w:rsidRPr="00B43325" w:rsidRDefault="00B43325" w:rsidP="00580CA6">
            <w:pPr>
              <w:spacing w:after="0" w:line="240" w:lineRule="auto"/>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Transport i gospodarka magazynowa</w:t>
            </w:r>
          </w:p>
        </w:tc>
        <w:tc>
          <w:tcPr>
            <w:tcW w:w="1342" w:type="dxa"/>
            <w:tcBorders>
              <w:top w:val="nil"/>
              <w:left w:val="nil"/>
              <w:bottom w:val="single" w:sz="4" w:space="0" w:color="auto"/>
              <w:right w:val="single" w:sz="4" w:space="0" w:color="auto"/>
            </w:tcBorders>
            <w:vAlign w:val="bottom"/>
          </w:tcPr>
          <w:p w14:paraId="3D5A5B6A" w14:textId="40726E05"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3 556 575,18</w:t>
            </w:r>
          </w:p>
        </w:tc>
        <w:tc>
          <w:tcPr>
            <w:tcW w:w="1257" w:type="dxa"/>
            <w:tcBorders>
              <w:top w:val="nil"/>
              <w:left w:val="single" w:sz="4" w:space="0" w:color="auto"/>
              <w:bottom w:val="single" w:sz="4" w:space="0" w:color="auto"/>
              <w:right w:val="single" w:sz="4" w:space="0" w:color="auto"/>
            </w:tcBorders>
            <w:shd w:val="clear" w:color="auto" w:fill="auto"/>
            <w:noWrap/>
            <w:vAlign w:val="bottom"/>
          </w:tcPr>
          <w:p w14:paraId="4E71C068" w14:textId="171EEAEC"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134" w:type="dxa"/>
            <w:tcBorders>
              <w:top w:val="nil"/>
              <w:left w:val="nil"/>
              <w:bottom w:val="single" w:sz="4" w:space="0" w:color="auto"/>
              <w:right w:val="single" w:sz="4" w:space="0" w:color="auto"/>
            </w:tcBorders>
            <w:shd w:val="clear" w:color="auto" w:fill="auto"/>
            <w:noWrap/>
            <w:vAlign w:val="bottom"/>
          </w:tcPr>
          <w:p w14:paraId="7CEF39E2" w14:textId="566E0C91"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81 294,95</w:t>
            </w:r>
          </w:p>
        </w:tc>
        <w:tc>
          <w:tcPr>
            <w:tcW w:w="1153" w:type="dxa"/>
            <w:tcBorders>
              <w:top w:val="nil"/>
              <w:left w:val="nil"/>
              <w:bottom w:val="single" w:sz="4" w:space="0" w:color="auto"/>
              <w:right w:val="single" w:sz="4" w:space="0" w:color="auto"/>
            </w:tcBorders>
            <w:shd w:val="clear" w:color="auto" w:fill="auto"/>
            <w:noWrap/>
            <w:vAlign w:val="bottom"/>
          </w:tcPr>
          <w:p w14:paraId="008C86B8" w14:textId="57F17738"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bottom"/>
          </w:tcPr>
          <w:p w14:paraId="2A18FED0" w14:textId="35791A57"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0</w:t>
            </w:r>
          </w:p>
        </w:tc>
        <w:tc>
          <w:tcPr>
            <w:tcW w:w="1276" w:type="dxa"/>
            <w:tcBorders>
              <w:top w:val="nil"/>
              <w:left w:val="nil"/>
              <w:bottom w:val="single" w:sz="4" w:space="0" w:color="auto"/>
              <w:right w:val="single" w:sz="4" w:space="0" w:color="auto"/>
            </w:tcBorders>
            <w:vAlign w:val="bottom"/>
          </w:tcPr>
          <w:p w14:paraId="1BF42D5C" w14:textId="32D579F8" w:rsidR="00580CA6" w:rsidRPr="00B43325" w:rsidRDefault="00580CA6" w:rsidP="00580CA6">
            <w:pPr>
              <w:spacing w:after="0" w:line="240" w:lineRule="auto"/>
              <w:jc w:val="right"/>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3 637 870,13</w:t>
            </w:r>
          </w:p>
        </w:tc>
      </w:tr>
      <w:tr w:rsidR="00B43325" w:rsidRPr="00B43325" w14:paraId="6FD25B21" w14:textId="77777777" w:rsidTr="00B43325">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44D742D" w14:textId="1DECCC7F" w:rsidR="00B43325" w:rsidRPr="00B43325" w:rsidRDefault="00B43325" w:rsidP="00B43325">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Osoby fizyczne</w:t>
            </w:r>
          </w:p>
        </w:tc>
        <w:tc>
          <w:tcPr>
            <w:tcW w:w="1342" w:type="dxa"/>
            <w:tcBorders>
              <w:top w:val="nil"/>
              <w:left w:val="nil"/>
              <w:bottom w:val="single" w:sz="4" w:space="0" w:color="auto"/>
              <w:right w:val="single" w:sz="4" w:space="0" w:color="auto"/>
            </w:tcBorders>
          </w:tcPr>
          <w:p w14:paraId="0A6ED48B" w14:textId="388866EA" w:rsidR="00B43325" w:rsidRPr="00B43325" w:rsidRDefault="00B43325" w:rsidP="00B43325">
            <w:pPr>
              <w:spacing w:after="0" w:line="240" w:lineRule="auto"/>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 xml:space="preserve">14 307 </w:t>
            </w:r>
            <w:r w:rsidRPr="00B43325">
              <w:rPr>
                <w:rFonts w:ascii="Times New Roman" w:eastAsia="Times New Roman" w:hAnsi="Times New Roman" w:cs="Times New Roman"/>
                <w:color w:val="000000"/>
                <w:sz w:val="18"/>
                <w:szCs w:val="18"/>
                <w:lang w:eastAsia="pl-PL"/>
              </w:rPr>
              <w:t>3</w:t>
            </w:r>
            <w:r w:rsidRPr="00B43325">
              <w:rPr>
                <w:rFonts w:ascii="Times New Roman" w:eastAsia="Times New Roman" w:hAnsi="Times New Roman" w:cs="Times New Roman"/>
                <w:color w:val="000000"/>
                <w:sz w:val="18"/>
                <w:szCs w:val="18"/>
                <w:lang w:eastAsia="pl-PL"/>
              </w:rPr>
              <w:t>47,19</w:t>
            </w:r>
          </w:p>
        </w:tc>
        <w:tc>
          <w:tcPr>
            <w:tcW w:w="1257" w:type="dxa"/>
            <w:tcBorders>
              <w:top w:val="nil"/>
              <w:left w:val="single" w:sz="4" w:space="0" w:color="auto"/>
              <w:bottom w:val="single" w:sz="4" w:space="0" w:color="auto"/>
              <w:right w:val="single" w:sz="4" w:space="0" w:color="auto"/>
            </w:tcBorders>
            <w:shd w:val="clear" w:color="auto" w:fill="auto"/>
            <w:noWrap/>
          </w:tcPr>
          <w:p w14:paraId="58DC8514" w14:textId="479D73ED" w:rsidR="00B43325" w:rsidRPr="00B43325" w:rsidRDefault="00B43325" w:rsidP="00B43325">
            <w:pPr>
              <w:spacing w:after="0" w:line="240" w:lineRule="auto"/>
              <w:jc w:val="right"/>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380 985,08</w:t>
            </w:r>
          </w:p>
        </w:tc>
        <w:tc>
          <w:tcPr>
            <w:tcW w:w="1134" w:type="dxa"/>
            <w:tcBorders>
              <w:top w:val="nil"/>
              <w:left w:val="nil"/>
              <w:bottom w:val="single" w:sz="4" w:space="0" w:color="auto"/>
              <w:right w:val="single" w:sz="4" w:space="0" w:color="auto"/>
            </w:tcBorders>
            <w:shd w:val="clear" w:color="auto" w:fill="auto"/>
            <w:noWrap/>
          </w:tcPr>
          <w:p w14:paraId="1EEA2D07" w14:textId="7E752A41" w:rsidR="00B43325" w:rsidRPr="00B43325" w:rsidRDefault="00B43325" w:rsidP="00B43325">
            <w:pPr>
              <w:spacing w:after="0" w:line="240" w:lineRule="auto"/>
              <w:jc w:val="right"/>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332 474,25</w:t>
            </w:r>
          </w:p>
        </w:tc>
        <w:tc>
          <w:tcPr>
            <w:tcW w:w="1153" w:type="dxa"/>
            <w:tcBorders>
              <w:top w:val="nil"/>
              <w:left w:val="nil"/>
              <w:bottom w:val="single" w:sz="4" w:space="0" w:color="auto"/>
              <w:right w:val="single" w:sz="4" w:space="0" w:color="auto"/>
            </w:tcBorders>
            <w:shd w:val="clear" w:color="auto" w:fill="auto"/>
            <w:noWrap/>
          </w:tcPr>
          <w:p w14:paraId="18CE3A70" w14:textId="6FE2F3AD" w:rsidR="00B43325" w:rsidRPr="00B43325" w:rsidRDefault="00B43325" w:rsidP="00B43325">
            <w:pPr>
              <w:spacing w:after="0" w:line="240" w:lineRule="auto"/>
              <w:jc w:val="right"/>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12 947,00</w:t>
            </w:r>
          </w:p>
        </w:tc>
        <w:tc>
          <w:tcPr>
            <w:tcW w:w="1276" w:type="dxa"/>
            <w:tcBorders>
              <w:top w:val="nil"/>
              <w:left w:val="nil"/>
              <w:bottom w:val="single" w:sz="4" w:space="0" w:color="auto"/>
              <w:right w:val="single" w:sz="4" w:space="0" w:color="auto"/>
            </w:tcBorders>
            <w:shd w:val="clear" w:color="auto" w:fill="auto"/>
            <w:noWrap/>
          </w:tcPr>
          <w:p w14:paraId="3AA4ACCF" w14:textId="70AB1B9F" w:rsidR="00B43325" w:rsidRPr="00B43325" w:rsidRDefault="00B43325" w:rsidP="00B43325">
            <w:pPr>
              <w:spacing w:after="0" w:line="240" w:lineRule="auto"/>
              <w:jc w:val="right"/>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224 504,46</w:t>
            </w:r>
          </w:p>
        </w:tc>
        <w:tc>
          <w:tcPr>
            <w:tcW w:w="1276" w:type="dxa"/>
            <w:tcBorders>
              <w:top w:val="nil"/>
              <w:left w:val="nil"/>
              <w:bottom w:val="single" w:sz="4" w:space="0" w:color="auto"/>
              <w:right w:val="single" w:sz="4" w:space="0" w:color="auto"/>
            </w:tcBorders>
          </w:tcPr>
          <w:p w14:paraId="5A865E09" w14:textId="6F4F92A1" w:rsidR="00B43325" w:rsidRPr="00B43325" w:rsidRDefault="00B43325" w:rsidP="00B43325">
            <w:pPr>
              <w:spacing w:after="0" w:line="240" w:lineRule="auto"/>
              <w:jc w:val="right"/>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15 258 257,98</w:t>
            </w:r>
          </w:p>
        </w:tc>
      </w:tr>
      <w:tr w:rsidR="00B43325" w:rsidRPr="00B43325" w14:paraId="7492EB6F" w14:textId="77777777" w:rsidTr="0072528A">
        <w:trPr>
          <w:trHeight w:val="300"/>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14:paraId="2E9529BD" w14:textId="77777777" w:rsidR="00B43325" w:rsidRPr="00B43325" w:rsidRDefault="00B43325" w:rsidP="00B43325">
            <w:pPr>
              <w:spacing w:after="0" w:line="240" w:lineRule="auto"/>
              <w:rPr>
                <w:rFonts w:ascii="Times New Roman" w:eastAsia="Times New Roman" w:hAnsi="Times New Roman" w:cs="Times New Roman"/>
                <w:b/>
                <w:bCs/>
                <w:sz w:val="18"/>
                <w:szCs w:val="18"/>
                <w:lang w:eastAsia="pl-PL"/>
              </w:rPr>
            </w:pPr>
            <w:r w:rsidRPr="00B43325">
              <w:rPr>
                <w:rFonts w:ascii="Times New Roman" w:eastAsia="Times New Roman" w:hAnsi="Times New Roman" w:cs="Times New Roman"/>
                <w:b/>
                <w:bCs/>
                <w:sz w:val="18"/>
                <w:szCs w:val="18"/>
                <w:lang w:eastAsia="pl-PL"/>
              </w:rPr>
              <w:t>SUMA</w:t>
            </w:r>
          </w:p>
        </w:tc>
        <w:tc>
          <w:tcPr>
            <w:tcW w:w="1342" w:type="dxa"/>
            <w:tcBorders>
              <w:top w:val="nil"/>
              <w:left w:val="nil"/>
              <w:bottom w:val="single" w:sz="4" w:space="0" w:color="auto"/>
              <w:right w:val="single" w:sz="4" w:space="0" w:color="auto"/>
            </w:tcBorders>
            <w:vAlign w:val="bottom"/>
          </w:tcPr>
          <w:p w14:paraId="2B6F0986" w14:textId="4DDD16D4" w:rsidR="00B43325" w:rsidRPr="00B43325" w:rsidRDefault="00B43325" w:rsidP="00B43325">
            <w:pPr>
              <w:spacing w:after="0" w:line="240" w:lineRule="auto"/>
              <w:jc w:val="right"/>
              <w:rPr>
                <w:rFonts w:ascii="Times New Roman" w:eastAsia="Times New Roman" w:hAnsi="Times New Roman" w:cs="Times New Roman"/>
                <w:b/>
                <w:bCs/>
                <w:sz w:val="18"/>
                <w:szCs w:val="18"/>
                <w:highlight w:val="yellow"/>
                <w:lang w:eastAsia="pl-PL"/>
              </w:rPr>
            </w:pPr>
            <w:r w:rsidRPr="00B43325">
              <w:rPr>
                <w:rFonts w:ascii="Arial" w:hAnsi="Arial" w:cs="Arial"/>
                <w:b/>
                <w:color w:val="000000"/>
                <w:sz w:val="16"/>
                <w:szCs w:val="16"/>
              </w:rPr>
              <w:t>38 126 009,21</w:t>
            </w:r>
          </w:p>
        </w:tc>
        <w:tc>
          <w:tcPr>
            <w:tcW w:w="1257" w:type="dxa"/>
            <w:tcBorders>
              <w:top w:val="nil"/>
              <w:left w:val="single" w:sz="4" w:space="0" w:color="auto"/>
              <w:bottom w:val="single" w:sz="4" w:space="0" w:color="auto"/>
              <w:right w:val="single" w:sz="4" w:space="0" w:color="auto"/>
            </w:tcBorders>
            <w:shd w:val="clear" w:color="auto" w:fill="auto"/>
            <w:noWrap/>
            <w:vAlign w:val="bottom"/>
            <w:hideMark/>
          </w:tcPr>
          <w:p w14:paraId="5DCD1672" w14:textId="6168DB2F" w:rsidR="00B43325" w:rsidRPr="00B43325" w:rsidRDefault="00B43325" w:rsidP="00B43325">
            <w:pPr>
              <w:spacing w:after="0" w:line="240" w:lineRule="auto"/>
              <w:jc w:val="right"/>
              <w:rPr>
                <w:rFonts w:ascii="Times New Roman" w:eastAsia="Times New Roman" w:hAnsi="Times New Roman" w:cs="Times New Roman"/>
                <w:b/>
                <w:bCs/>
                <w:sz w:val="18"/>
                <w:szCs w:val="18"/>
                <w:lang w:eastAsia="pl-PL"/>
              </w:rPr>
            </w:pPr>
            <w:r w:rsidRPr="00B43325">
              <w:rPr>
                <w:rFonts w:ascii="Arial" w:hAnsi="Arial" w:cs="Arial"/>
                <w:b/>
                <w:color w:val="000000"/>
                <w:sz w:val="16"/>
                <w:szCs w:val="16"/>
              </w:rPr>
              <w:t>1 788 755,07</w:t>
            </w:r>
          </w:p>
        </w:tc>
        <w:tc>
          <w:tcPr>
            <w:tcW w:w="1134" w:type="dxa"/>
            <w:tcBorders>
              <w:top w:val="nil"/>
              <w:left w:val="nil"/>
              <w:bottom w:val="single" w:sz="4" w:space="0" w:color="auto"/>
              <w:right w:val="single" w:sz="4" w:space="0" w:color="auto"/>
            </w:tcBorders>
            <w:shd w:val="clear" w:color="auto" w:fill="auto"/>
            <w:noWrap/>
            <w:vAlign w:val="bottom"/>
            <w:hideMark/>
          </w:tcPr>
          <w:p w14:paraId="1FE2F92B" w14:textId="3135F34F" w:rsidR="00B43325" w:rsidRPr="00B43325" w:rsidRDefault="00B43325" w:rsidP="00B43325">
            <w:pPr>
              <w:spacing w:after="0" w:line="240" w:lineRule="auto"/>
              <w:jc w:val="right"/>
              <w:rPr>
                <w:rFonts w:ascii="Times New Roman" w:eastAsia="Times New Roman" w:hAnsi="Times New Roman" w:cs="Times New Roman"/>
                <w:b/>
                <w:bCs/>
                <w:sz w:val="18"/>
                <w:szCs w:val="18"/>
                <w:lang w:eastAsia="pl-PL"/>
              </w:rPr>
            </w:pPr>
            <w:r w:rsidRPr="00B43325">
              <w:rPr>
                <w:rFonts w:ascii="Arial" w:hAnsi="Arial" w:cs="Arial"/>
                <w:b/>
                <w:color w:val="000000"/>
                <w:sz w:val="16"/>
                <w:szCs w:val="16"/>
              </w:rPr>
              <w:t>533 639,80</w:t>
            </w:r>
          </w:p>
        </w:tc>
        <w:tc>
          <w:tcPr>
            <w:tcW w:w="1153" w:type="dxa"/>
            <w:tcBorders>
              <w:top w:val="nil"/>
              <w:left w:val="nil"/>
              <w:bottom w:val="single" w:sz="4" w:space="0" w:color="auto"/>
              <w:right w:val="single" w:sz="4" w:space="0" w:color="auto"/>
            </w:tcBorders>
            <w:shd w:val="clear" w:color="auto" w:fill="auto"/>
            <w:noWrap/>
            <w:vAlign w:val="bottom"/>
            <w:hideMark/>
          </w:tcPr>
          <w:p w14:paraId="617DB3B8" w14:textId="5E8F823F" w:rsidR="00B43325" w:rsidRPr="00B43325" w:rsidRDefault="00B43325" w:rsidP="00B43325">
            <w:pPr>
              <w:spacing w:after="0" w:line="240" w:lineRule="auto"/>
              <w:jc w:val="right"/>
              <w:rPr>
                <w:rFonts w:ascii="Times New Roman" w:eastAsia="Times New Roman" w:hAnsi="Times New Roman" w:cs="Times New Roman"/>
                <w:b/>
                <w:bCs/>
                <w:sz w:val="18"/>
                <w:szCs w:val="18"/>
                <w:lang w:eastAsia="pl-PL"/>
              </w:rPr>
            </w:pPr>
            <w:r w:rsidRPr="00B43325">
              <w:rPr>
                <w:rFonts w:ascii="Arial" w:hAnsi="Arial" w:cs="Arial"/>
                <w:b/>
                <w:color w:val="000000"/>
                <w:sz w:val="16"/>
                <w:szCs w:val="16"/>
              </w:rPr>
              <w:t>12 947,00</w:t>
            </w:r>
          </w:p>
        </w:tc>
        <w:tc>
          <w:tcPr>
            <w:tcW w:w="1276" w:type="dxa"/>
            <w:tcBorders>
              <w:top w:val="nil"/>
              <w:left w:val="nil"/>
              <w:bottom w:val="single" w:sz="4" w:space="0" w:color="auto"/>
              <w:right w:val="single" w:sz="4" w:space="0" w:color="auto"/>
            </w:tcBorders>
            <w:shd w:val="clear" w:color="auto" w:fill="auto"/>
            <w:noWrap/>
            <w:vAlign w:val="bottom"/>
            <w:hideMark/>
          </w:tcPr>
          <w:p w14:paraId="2E649687" w14:textId="753A3352" w:rsidR="00B43325" w:rsidRPr="00B43325" w:rsidRDefault="00B43325" w:rsidP="00B43325">
            <w:pPr>
              <w:spacing w:after="0" w:line="240" w:lineRule="auto"/>
              <w:jc w:val="right"/>
              <w:rPr>
                <w:rFonts w:ascii="Times New Roman" w:eastAsia="Times New Roman" w:hAnsi="Times New Roman" w:cs="Times New Roman"/>
                <w:b/>
                <w:bCs/>
                <w:sz w:val="18"/>
                <w:szCs w:val="18"/>
                <w:lang w:eastAsia="pl-PL"/>
              </w:rPr>
            </w:pPr>
            <w:r w:rsidRPr="00B43325">
              <w:rPr>
                <w:rFonts w:ascii="Arial" w:hAnsi="Arial" w:cs="Arial"/>
                <w:b/>
                <w:color w:val="000000"/>
                <w:sz w:val="16"/>
                <w:szCs w:val="16"/>
              </w:rPr>
              <w:t>574 860,21</w:t>
            </w:r>
          </w:p>
        </w:tc>
        <w:tc>
          <w:tcPr>
            <w:tcW w:w="1276" w:type="dxa"/>
            <w:tcBorders>
              <w:top w:val="nil"/>
              <w:left w:val="nil"/>
              <w:bottom w:val="single" w:sz="4" w:space="0" w:color="auto"/>
              <w:right w:val="single" w:sz="4" w:space="0" w:color="auto"/>
            </w:tcBorders>
            <w:vAlign w:val="bottom"/>
          </w:tcPr>
          <w:p w14:paraId="63EF761C" w14:textId="40D41193" w:rsidR="00B43325" w:rsidRPr="00B43325" w:rsidRDefault="00B43325" w:rsidP="00B43325">
            <w:pPr>
              <w:spacing w:after="0" w:line="240" w:lineRule="auto"/>
              <w:jc w:val="right"/>
              <w:rPr>
                <w:rFonts w:ascii="Times New Roman" w:eastAsia="Times New Roman" w:hAnsi="Times New Roman" w:cs="Times New Roman"/>
                <w:b/>
                <w:bCs/>
                <w:sz w:val="18"/>
                <w:szCs w:val="18"/>
                <w:lang w:eastAsia="pl-PL"/>
              </w:rPr>
            </w:pPr>
            <w:r w:rsidRPr="00B43325">
              <w:rPr>
                <w:rFonts w:ascii="Arial" w:hAnsi="Arial" w:cs="Arial"/>
                <w:b/>
                <w:color w:val="000000"/>
                <w:sz w:val="16"/>
                <w:szCs w:val="16"/>
              </w:rPr>
              <w:t>41 036 211,29</w:t>
            </w:r>
          </w:p>
        </w:tc>
      </w:tr>
    </w:tbl>
    <w:p w14:paraId="61261535" w14:textId="4CFA32BB" w:rsidR="00AE50B7" w:rsidRDefault="00AE50B7" w:rsidP="00B43325">
      <w:pPr>
        <w:pStyle w:val="Akapitzlist"/>
        <w:numPr>
          <w:ilvl w:val="0"/>
          <w:numId w:val="6"/>
        </w:numPr>
        <w:ind w:left="993"/>
        <w:jc w:val="both"/>
        <w:rPr>
          <w:rFonts w:ascii="Times New Roman" w:hAnsi="Times New Roman" w:cs="Times New Roman"/>
          <w:b/>
        </w:rPr>
      </w:pPr>
      <w:r w:rsidRPr="00B43325">
        <w:rPr>
          <w:rFonts w:ascii="Times New Roman" w:hAnsi="Times New Roman" w:cs="Times New Roman"/>
          <w:b/>
        </w:rPr>
        <w:t xml:space="preserve">Struktura ekspozycji </w:t>
      </w:r>
      <w:r w:rsidR="001F3BB4">
        <w:rPr>
          <w:rFonts w:ascii="Times New Roman" w:hAnsi="Times New Roman" w:cs="Times New Roman"/>
          <w:b/>
        </w:rPr>
        <w:t xml:space="preserve"> zabezpieczonych hipotecznie w podziale na klasy ryzyka</w:t>
      </w:r>
    </w:p>
    <w:tbl>
      <w:tblPr>
        <w:tblW w:w="9062" w:type="dxa"/>
        <w:tblInd w:w="274" w:type="dxa"/>
        <w:tblCellMar>
          <w:left w:w="70" w:type="dxa"/>
          <w:right w:w="70" w:type="dxa"/>
        </w:tblCellMar>
        <w:tblLook w:val="04A0" w:firstRow="1" w:lastRow="0" w:firstColumn="1" w:lastColumn="0" w:noHBand="0" w:noVBand="1"/>
      </w:tblPr>
      <w:tblGrid>
        <w:gridCol w:w="1833"/>
        <w:gridCol w:w="1833"/>
        <w:gridCol w:w="1853"/>
        <w:gridCol w:w="1984"/>
        <w:gridCol w:w="1559"/>
      </w:tblGrid>
      <w:tr w:rsidR="001F3BB4" w:rsidRPr="00165244" w14:paraId="2083E011" w14:textId="77777777" w:rsidTr="001F3BB4">
        <w:trPr>
          <w:trHeight w:val="138"/>
        </w:trPr>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FCACA8" w14:textId="77777777" w:rsidR="001F3BB4" w:rsidRPr="00165244" w:rsidRDefault="001F3BB4" w:rsidP="00CD4639">
            <w:pPr>
              <w:spacing w:after="0" w:line="240" w:lineRule="auto"/>
              <w:jc w:val="center"/>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Wyszczególnienie</w:t>
            </w:r>
          </w:p>
        </w:tc>
        <w:tc>
          <w:tcPr>
            <w:tcW w:w="1833" w:type="dxa"/>
            <w:tcBorders>
              <w:top w:val="single" w:sz="8" w:space="0" w:color="000000"/>
              <w:left w:val="nil"/>
              <w:bottom w:val="single" w:sz="8" w:space="0" w:color="000000"/>
              <w:right w:val="single" w:sz="8" w:space="0" w:color="000000"/>
            </w:tcBorders>
            <w:shd w:val="clear" w:color="auto" w:fill="auto"/>
            <w:vAlign w:val="center"/>
            <w:hideMark/>
          </w:tcPr>
          <w:p w14:paraId="68787A40" w14:textId="77777777" w:rsidR="001F3BB4" w:rsidRPr="00165244" w:rsidRDefault="001F3BB4" w:rsidP="00CD4639">
            <w:pPr>
              <w:spacing w:after="0" w:line="240" w:lineRule="auto"/>
              <w:jc w:val="center"/>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Kredyty finansujące nieruchomość</w:t>
            </w:r>
          </w:p>
        </w:tc>
        <w:tc>
          <w:tcPr>
            <w:tcW w:w="1853" w:type="dxa"/>
            <w:tcBorders>
              <w:top w:val="single" w:sz="8" w:space="0" w:color="000000"/>
              <w:left w:val="nil"/>
              <w:bottom w:val="single" w:sz="8" w:space="0" w:color="000000"/>
              <w:right w:val="single" w:sz="8" w:space="0" w:color="000000"/>
            </w:tcBorders>
            <w:shd w:val="clear" w:color="auto" w:fill="auto"/>
            <w:vAlign w:val="center"/>
            <w:hideMark/>
          </w:tcPr>
          <w:p w14:paraId="70F6E58E" w14:textId="77777777" w:rsidR="001F3BB4" w:rsidRPr="00165244" w:rsidRDefault="001F3BB4" w:rsidP="00CD4639">
            <w:pPr>
              <w:spacing w:after="0" w:line="240" w:lineRule="auto"/>
              <w:jc w:val="center"/>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Udział w obligu kredytowym</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14:paraId="4AD15F89" w14:textId="77777777" w:rsidR="001F3BB4" w:rsidRPr="00165244" w:rsidRDefault="001F3BB4" w:rsidP="00CD4639">
            <w:pPr>
              <w:spacing w:after="0" w:line="240" w:lineRule="auto"/>
              <w:jc w:val="center"/>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Kredyty zabezpieczone hipotecznie</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5D4AFAC9" w14:textId="77777777" w:rsidR="001F3BB4" w:rsidRPr="00165244" w:rsidRDefault="001F3BB4" w:rsidP="00CD4639">
            <w:pPr>
              <w:spacing w:after="0" w:line="240" w:lineRule="auto"/>
              <w:jc w:val="center"/>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Udział w obligu kredytowym</w:t>
            </w:r>
          </w:p>
        </w:tc>
      </w:tr>
      <w:tr w:rsidR="001F3BB4" w:rsidRPr="00165244" w14:paraId="31C10384" w14:textId="77777777" w:rsidTr="001F3BB4">
        <w:trPr>
          <w:trHeight w:val="93"/>
        </w:trPr>
        <w:tc>
          <w:tcPr>
            <w:tcW w:w="1833" w:type="dxa"/>
            <w:tcBorders>
              <w:top w:val="nil"/>
              <w:left w:val="single" w:sz="8" w:space="0" w:color="000000"/>
              <w:bottom w:val="single" w:sz="8" w:space="0" w:color="000000"/>
              <w:right w:val="single" w:sz="8" w:space="0" w:color="000000"/>
            </w:tcBorders>
            <w:shd w:val="clear" w:color="auto" w:fill="auto"/>
            <w:hideMark/>
          </w:tcPr>
          <w:p w14:paraId="7E37A6FE" w14:textId="77777777" w:rsidR="001F3BB4" w:rsidRPr="00165244" w:rsidRDefault="001F3BB4" w:rsidP="00CD4639">
            <w:pPr>
              <w:spacing w:after="0" w:line="240" w:lineRule="auto"/>
              <w:jc w:val="both"/>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normalne</w:t>
            </w:r>
          </w:p>
        </w:tc>
        <w:tc>
          <w:tcPr>
            <w:tcW w:w="1833" w:type="dxa"/>
            <w:tcBorders>
              <w:top w:val="nil"/>
              <w:left w:val="nil"/>
              <w:bottom w:val="single" w:sz="8" w:space="0" w:color="000000"/>
              <w:right w:val="single" w:sz="8" w:space="0" w:color="000000"/>
            </w:tcBorders>
            <w:shd w:val="clear" w:color="auto" w:fill="auto"/>
          </w:tcPr>
          <w:p w14:paraId="380E4EAB"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12 131</w:t>
            </w:r>
          </w:p>
        </w:tc>
        <w:tc>
          <w:tcPr>
            <w:tcW w:w="1853" w:type="dxa"/>
            <w:tcBorders>
              <w:top w:val="nil"/>
              <w:left w:val="nil"/>
              <w:bottom w:val="single" w:sz="8" w:space="0" w:color="000000"/>
              <w:right w:val="single" w:sz="8" w:space="0" w:color="000000"/>
            </w:tcBorders>
            <w:shd w:val="clear" w:color="auto" w:fill="auto"/>
            <w:hideMark/>
          </w:tcPr>
          <w:p w14:paraId="17ECBB48"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29,56%</w:t>
            </w:r>
          </w:p>
        </w:tc>
        <w:tc>
          <w:tcPr>
            <w:tcW w:w="1984" w:type="dxa"/>
            <w:tcBorders>
              <w:top w:val="nil"/>
              <w:left w:val="nil"/>
              <w:bottom w:val="single" w:sz="8" w:space="0" w:color="000000"/>
              <w:right w:val="single" w:sz="8" w:space="0" w:color="000000"/>
            </w:tcBorders>
            <w:shd w:val="clear" w:color="auto" w:fill="auto"/>
          </w:tcPr>
          <w:p w14:paraId="6FD985BB"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16 315</w:t>
            </w:r>
          </w:p>
        </w:tc>
        <w:tc>
          <w:tcPr>
            <w:tcW w:w="1559" w:type="dxa"/>
            <w:tcBorders>
              <w:top w:val="nil"/>
              <w:left w:val="nil"/>
              <w:bottom w:val="single" w:sz="8" w:space="0" w:color="000000"/>
              <w:right w:val="single" w:sz="8" w:space="0" w:color="000000"/>
            </w:tcBorders>
            <w:shd w:val="clear" w:color="auto" w:fill="auto"/>
            <w:hideMark/>
          </w:tcPr>
          <w:p w14:paraId="06EC4934"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39,76%</w:t>
            </w:r>
          </w:p>
        </w:tc>
      </w:tr>
      <w:tr w:rsidR="001F3BB4" w:rsidRPr="00165244" w14:paraId="78683CBB" w14:textId="77777777" w:rsidTr="001F3BB4">
        <w:trPr>
          <w:trHeight w:val="43"/>
        </w:trPr>
        <w:tc>
          <w:tcPr>
            <w:tcW w:w="1833" w:type="dxa"/>
            <w:tcBorders>
              <w:top w:val="nil"/>
              <w:left w:val="single" w:sz="8" w:space="0" w:color="000000"/>
              <w:bottom w:val="single" w:sz="8" w:space="0" w:color="000000"/>
              <w:right w:val="single" w:sz="8" w:space="0" w:color="000000"/>
            </w:tcBorders>
            <w:shd w:val="clear" w:color="auto" w:fill="auto"/>
            <w:hideMark/>
          </w:tcPr>
          <w:p w14:paraId="54B0BE90" w14:textId="77777777" w:rsidR="001F3BB4" w:rsidRPr="00165244" w:rsidRDefault="001F3BB4" w:rsidP="00CD4639">
            <w:pPr>
              <w:spacing w:after="0" w:line="240" w:lineRule="auto"/>
              <w:jc w:val="both"/>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pod obserwacją</w:t>
            </w:r>
          </w:p>
        </w:tc>
        <w:tc>
          <w:tcPr>
            <w:tcW w:w="1833" w:type="dxa"/>
            <w:tcBorders>
              <w:top w:val="nil"/>
              <w:left w:val="nil"/>
              <w:bottom w:val="single" w:sz="8" w:space="0" w:color="000000"/>
              <w:right w:val="single" w:sz="8" w:space="0" w:color="000000"/>
            </w:tcBorders>
            <w:shd w:val="clear" w:color="auto" w:fill="auto"/>
          </w:tcPr>
          <w:p w14:paraId="1B8B6B76"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104</w:t>
            </w:r>
          </w:p>
        </w:tc>
        <w:tc>
          <w:tcPr>
            <w:tcW w:w="1853" w:type="dxa"/>
            <w:tcBorders>
              <w:top w:val="nil"/>
              <w:left w:val="nil"/>
              <w:bottom w:val="single" w:sz="8" w:space="0" w:color="000000"/>
              <w:right w:val="single" w:sz="8" w:space="0" w:color="000000"/>
            </w:tcBorders>
            <w:shd w:val="clear" w:color="auto" w:fill="auto"/>
            <w:hideMark/>
          </w:tcPr>
          <w:p w14:paraId="4EA65CD7"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0,25%</w:t>
            </w:r>
          </w:p>
        </w:tc>
        <w:tc>
          <w:tcPr>
            <w:tcW w:w="1984" w:type="dxa"/>
            <w:tcBorders>
              <w:top w:val="nil"/>
              <w:left w:val="nil"/>
              <w:bottom w:val="single" w:sz="8" w:space="0" w:color="000000"/>
              <w:right w:val="single" w:sz="8" w:space="0" w:color="000000"/>
            </w:tcBorders>
            <w:shd w:val="clear" w:color="auto" w:fill="auto"/>
          </w:tcPr>
          <w:p w14:paraId="5F448F2D"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1 593</w:t>
            </w:r>
          </w:p>
        </w:tc>
        <w:tc>
          <w:tcPr>
            <w:tcW w:w="1559" w:type="dxa"/>
            <w:tcBorders>
              <w:top w:val="nil"/>
              <w:left w:val="nil"/>
              <w:bottom w:val="single" w:sz="8" w:space="0" w:color="000000"/>
              <w:right w:val="single" w:sz="8" w:space="0" w:color="000000"/>
            </w:tcBorders>
            <w:shd w:val="clear" w:color="auto" w:fill="auto"/>
            <w:hideMark/>
          </w:tcPr>
          <w:p w14:paraId="6435A0D7"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3,88%</w:t>
            </w:r>
          </w:p>
        </w:tc>
      </w:tr>
      <w:tr w:rsidR="001F3BB4" w:rsidRPr="00165244" w14:paraId="2A3F2DBB" w14:textId="77777777" w:rsidTr="001F3BB4">
        <w:trPr>
          <w:trHeight w:val="144"/>
        </w:trPr>
        <w:tc>
          <w:tcPr>
            <w:tcW w:w="1833" w:type="dxa"/>
            <w:tcBorders>
              <w:top w:val="nil"/>
              <w:left w:val="single" w:sz="8" w:space="0" w:color="000000"/>
              <w:bottom w:val="single" w:sz="8" w:space="0" w:color="000000"/>
              <w:right w:val="single" w:sz="8" w:space="0" w:color="000000"/>
            </w:tcBorders>
            <w:shd w:val="clear" w:color="auto" w:fill="auto"/>
            <w:hideMark/>
          </w:tcPr>
          <w:p w14:paraId="51EECFF6" w14:textId="77777777" w:rsidR="001F3BB4" w:rsidRPr="00165244" w:rsidRDefault="001F3BB4" w:rsidP="00CD4639">
            <w:pPr>
              <w:spacing w:after="0" w:line="240" w:lineRule="auto"/>
              <w:jc w:val="both"/>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poniżej standardu</w:t>
            </w:r>
          </w:p>
        </w:tc>
        <w:tc>
          <w:tcPr>
            <w:tcW w:w="1833" w:type="dxa"/>
            <w:tcBorders>
              <w:top w:val="nil"/>
              <w:left w:val="nil"/>
              <w:bottom w:val="single" w:sz="8" w:space="0" w:color="000000"/>
              <w:right w:val="single" w:sz="8" w:space="0" w:color="000000"/>
            </w:tcBorders>
            <w:shd w:val="clear" w:color="auto" w:fill="auto"/>
          </w:tcPr>
          <w:p w14:paraId="51ACFE49"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247</w:t>
            </w:r>
          </w:p>
        </w:tc>
        <w:tc>
          <w:tcPr>
            <w:tcW w:w="1853" w:type="dxa"/>
            <w:tcBorders>
              <w:top w:val="nil"/>
              <w:left w:val="nil"/>
              <w:bottom w:val="single" w:sz="8" w:space="0" w:color="000000"/>
              <w:right w:val="single" w:sz="8" w:space="0" w:color="000000"/>
            </w:tcBorders>
            <w:shd w:val="clear" w:color="auto" w:fill="auto"/>
            <w:hideMark/>
          </w:tcPr>
          <w:p w14:paraId="74A42243"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0,60%</w:t>
            </w:r>
          </w:p>
        </w:tc>
        <w:tc>
          <w:tcPr>
            <w:tcW w:w="1984" w:type="dxa"/>
            <w:tcBorders>
              <w:top w:val="nil"/>
              <w:left w:val="nil"/>
              <w:bottom w:val="single" w:sz="8" w:space="0" w:color="000000"/>
              <w:right w:val="single" w:sz="8" w:space="0" w:color="000000"/>
            </w:tcBorders>
            <w:shd w:val="clear" w:color="auto" w:fill="auto"/>
          </w:tcPr>
          <w:p w14:paraId="57C36C2F"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442</w:t>
            </w:r>
          </w:p>
        </w:tc>
        <w:tc>
          <w:tcPr>
            <w:tcW w:w="1559" w:type="dxa"/>
            <w:tcBorders>
              <w:top w:val="nil"/>
              <w:left w:val="nil"/>
              <w:bottom w:val="single" w:sz="8" w:space="0" w:color="000000"/>
              <w:right w:val="single" w:sz="8" w:space="0" w:color="000000"/>
            </w:tcBorders>
            <w:shd w:val="clear" w:color="auto" w:fill="auto"/>
            <w:hideMark/>
          </w:tcPr>
          <w:p w14:paraId="7F1A2D0C"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1,08%</w:t>
            </w:r>
          </w:p>
        </w:tc>
      </w:tr>
      <w:tr w:rsidR="001F3BB4" w:rsidRPr="00165244" w14:paraId="46288425" w14:textId="77777777" w:rsidTr="001F3BB4">
        <w:trPr>
          <w:trHeight w:val="43"/>
        </w:trPr>
        <w:tc>
          <w:tcPr>
            <w:tcW w:w="1833" w:type="dxa"/>
            <w:tcBorders>
              <w:top w:val="nil"/>
              <w:left w:val="single" w:sz="8" w:space="0" w:color="000000"/>
              <w:bottom w:val="single" w:sz="8" w:space="0" w:color="000000"/>
              <w:right w:val="single" w:sz="8" w:space="0" w:color="000000"/>
            </w:tcBorders>
            <w:shd w:val="clear" w:color="auto" w:fill="auto"/>
            <w:hideMark/>
          </w:tcPr>
          <w:p w14:paraId="54CA28E3" w14:textId="77777777" w:rsidR="001F3BB4" w:rsidRPr="00165244" w:rsidRDefault="001F3BB4" w:rsidP="00CD4639">
            <w:pPr>
              <w:spacing w:after="0" w:line="240" w:lineRule="auto"/>
              <w:jc w:val="both"/>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wątpliwe</w:t>
            </w:r>
          </w:p>
        </w:tc>
        <w:tc>
          <w:tcPr>
            <w:tcW w:w="1833" w:type="dxa"/>
            <w:tcBorders>
              <w:top w:val="nil"/>
              <w:left w:val="nil"/>
              <w:bottom w:val="single" w:sz="8" w:space="0" w:color="000000"/>
              <w:right w:val="single" w:sz="8" w:space="0" w:color="000000"/>
            </w:tcBorders>
            <w:shd w:val="clear" w:color="auto" w:fill="auto"/>
          </w:tcPr>
          <w:p w14:paraId="6A8F7104"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0</w:t>
            </w:r>
          </w:p>
        </w:tc>
        <w:tc>
          <w:tcPr>
            <w:tcW w:w="1853" w:type="dxa"/>
            <w:tcBorders>
              <w:top w:val="nil"/>
              <w:left w:val="nil"/>
              <w:bottom w:val="single" w:sz="8" w:space="0" w:color="000000"/>
              <w:right w:val="single" w:sz="8" w:space="0" w:color="000000"/>
            </w:tcBorders>
            <w:shd w:val="clear" w:color="auto" w:fill="auto"/>
            <w:hideMark/>
          </w:tcPr>
          <w:p w14:paraId="1BEF9D84"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0,00%</w:t>
            </w:r>
          </w:p>
        </w:tc>
        <w:tc>
          <w:tcPr>
            <w:tcW w:w="1984" w:type="dxa"/>
            <w:tcBorders>
              <w:top w:val="nil"/>
              <w:left w:val="nil"/>
              <w:bottom w:val="single" w:sz="8" w:space="0" w:color="000000"/>
              <w:right w:val="single" w:sz="8" w:space="0" w:color="000000"/>
            </w:tcBorders>
            <w:shd w:val="clear" w:color="auto" w:fill="auto"/>
          </w:tcPr>
          <w:p w14:paraId="527A9C7B"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13</w:t>
            </w:r>
          </w:p>
        </w:tc>
        <w:tc>
          <w:tcPr>
            <w:tcW w:w="1559" w:type="dxa"/>
            <w:tcBorders>
              <w:top w:val="nil"/>
              <w:left w:val="nil"/>
              <w:bottom w:val="single" w:sz="8" w:space="0" w:color="000000"/>
              <w:right w:val="single" w:sz="8" w:space="0" w:color="000000"/>
            </w:tcBorders>
            <w:shd w:val="clear" w:color="auto" w:fill="auto"/>
            <w:hideMark/>
          </w:tcPr>
          <w:p w14:paraId="44D1F81F"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0,03%</w:t>
            </w:r>
          </w:p>
        </w:tc>
      </w:tr>
      <w:tr w:rsidR="001F3BB4" w:rsidRPr="00165244" w14:paraId="1594C274" w14:textId="77777777" w:rsidTr="001F3BB4">
        <w:trPr>
          <w:trHeight w:val="43"/>
        </w:trPr>
        <w:tc>
          <w:tcPr>
            <w:tcW w:w="1833" w:type="dxa"/>
            <w:tcBorders>
              <w:top w:val="nil"/>
              <w:left w:val="single" w:sz="8" w:space="0" w:color="000000"/>
              <w:bottom w:val="single" w:sz="8" w:space="0" w:color="000000"/>
              <w:right w:val="single" w:sz="8" w:space="0" w:color="000000"/>
            </w:tcBorders>
            <w:shd w:val="clear" w:color="auto" w:fill="auto"/>
            <w:hideMark/>
          </w:tcPr>
          <w:p w14:paraId="1B6252D7" w14:textId="77777777" w:rsidR="001F3BB4" w:rsidRPr="00165244" w:rsidRDefault="001F3BB4" w:rsidP="00CD4639">
            <w:pPr>
              <w:spacing w:after="0" w:line="240" w:lineRule="auto"/>
              <w:jc w:val="both"/>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stracone</w:t>
            </w:r>
          </w:p>
        </w:tc>
        <w:tc>
          <w:tcPr>
            <w:tcW w:w="1833" w:type="dxa"/>
            <w:tcBorders>
              <w:top w:val="nil"/>
              <w:left w:val="nil"/>
              <w:bottom w:val="single" w:sz="8" w:space="0" w:color="000000"/>
              <w:right w:val="single" w:sz="8" w:space="0" w:color="000000"/>
            </w:tcBorders>
            <w:shd w:val="clear" w:color="auto" w:fill="auto"/>
          </w:tcPr>
          <w:p w14:paraId="2610BBF4"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0</w:t>
            </w:r>
          </w:p>
        </w:tc>
        <w:tc>
          <w:tcPr>
            <w:tcW w:w="1853" w:type="dxa"/>
            <w:tcBorders>
              <w:top w:val="nil"/>
              <w:left w:val="nil"/>
              <w:bottom w:val="single" w:sz="8" w:space="0" w:color="000000"/>
              <w:right w:val="single" w:sz="8" w:space="0" w:color="000000"/>
            </w:tcBorders>
            <w:shd w:val="clear" w:color="auto" w:fill="auto"/>
            <w:hideMark/>
          </w:tcPr>
          <w:p w14:paraId="6B073BCE"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0,00%</w:t>
            </w:r>
          </w:p>
        </w:tc>
        <w:tc>
          <w:tcPr>
            <w:tcW w:w="1984" w:type="dxa"/>
            <w:tcBorders>
              <w:top w:val="nil"/>
              <w:left w:val="nil"/>
              <w:bottom w:val="single" w:sz="8" w:space="0" w:color="000000"/>
              <w:right w:val="single" w:sz="8" w:space="0" w:color="000000"/>
            </w:tcBorders>
            <w:shd w:val="clear" w:color="auto" w:fill="auto"/>
          </w:tcPr>
          <w:p w14:paraId="0F8E4892"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570</w:t>
            </w:r>
          </w:p>
        </w:tc>
        <w:tc>
          <w:tcPr>
            <w:tcW w:w="1559" w:type="dxa"/>
            <w:tcBorders>
              <w:top w:val="nil"/>
              <w:left w:val="nil"/>
              <w:bottom w:val="single" w:sz="8" w:space="0" w:color="000000"/>
              <w:right w:val="single" w:sz="8" w:space="0" w:color="000000"/>
            </w:tcBorders>
            <w:shd w:val="clear" w:color="auto" w:fill="auto"/>
            <w:hideMark/>
          </w:tcPr>
          <w:p w14:paraId="6082D0E5"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1,39%</w:t>
            </w:r>
          </w:p>
        </w:tc>
      </w:tr>
      <w:tr w:rsidR="001F3BB4" w:rsidRPr="00165244" w14:paraId="31C48536" w14:textId="77777777" w:rsidTr="001F3BB4">
        <w:trPr>
          <w:trHeight w:val="131"/>
        </w:trPr>
        <w:tc>
          <w:tcPr>
            <w:tcW w:w="1833" w:type="dxa"/>
            <w:tcBorders>
              <w:top w:val="nil"/>
              <w:left w:val="single" w:sz="8" w:space="0" w:color="000000"/>
              <w:bottom w:val="single" w:sz="8" w:space="0" w:color="000000"/>
              <w:right w:val="single" w:sz="8" w:space="0" w:color="000000"/>
            </w:tcBorders>
            <w:shd w:val="clear" w:color="auto" w:fill="auto"/>
            <w:hideMark/>
          </w:tcPr>
          <w:p w14:paraId="06F486C7" w14:textId="77777777" w:rsidR="001F3BB4" w:rsidRPr="00165244" w:rsidRDefault="001F3BB4" w:rsidP="00CD4639">
            <w:pPr>
              <w:spacing w:after="0" w:line="240" w:lineRule="auto"/>
              <w:jc w:val="both"/>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RAZEM</w:t>
            </w:r>
          </w:p>
        </w:tc>
        <w:tc>
          <w:tcPr>
            <w:tcW w:w="1833" w:type="dxa"/>
            <w:tcBorders>
              <w:top w:val="nil"/>
              <w:left w:val="nil"/>
              <w:bottom w:val="single" w:sz="8" w:space="0" w:color="000000"/>
              <w:right w:val="single" w:sz="8" w:space="0" w:color="000000"/>
            </w:tcBorders>
            <w:shd w:val="clear" w:color="auto" w:fill="auto"/>
          </w:tcPr>
          <w:p w14:paraId="6DE34154" w14:textId="77777777" w:rsidR="001F3BB4" w:rsidRPr="00165244" w:rsidRDefault="001F3BB4" w:rsidP="00CD4639">
            <w:pPr>
              <w:spacing w:after="0" w:line="240" w:lineRule="auto"/>
              <w:jc w:val="right"/>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12 482</w:t>
            </w:r>
          </w:p>
        </w:tc>
        <w:tc>
          <w:tcPr>
            <w:tcW w:w="1853" w:type="dxa"/>
            <w:tcBorders>
              <w:top w:val="nil"/>
              <w:left w:val="nil"/>
              <w:bottom w:val="single" w:sz="8" w:space="0" w:color="000000"/>
              <w:right w:val="single" w:sz="8" w:space="0" w:color="000000"/>
            </w:tcBorders>
            <w:shd w:val="clear" w:color="auto" w:fill="auto"/>
            <w:hideMark/>
          </w:tcPr>
          <w:p w14:paraId="424E26D5"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30,42%</w:t>
            </w:r>
          </w:p>
        </w:tc>
        <w:tc>
          <w:tcPr>
            <w:tcW w:w="1984" w:type="dxa"/>
            <w:tcBorders>
              <w:top w:val="nil"/>
              <w:left w:val="nil"/>
              <w:bottom w:val="single" w:sz="8" w:space="0" w:color="000000"/>
              <w:right w:val="single" w:sz="8" w:space="0" w:color="000000"/>
            </w:tcBorders>
            <w:shd w:val="clear" w:color="auto" w:fill="auto"/>
          </w:tcPr>
          <w:p w14:paraId="4B3481D6" w14:textId="77777777" w:rsidR="001F3BB4" w:rsidRPr="00165244" w:rsidRDefault="001F3BB4" w:rsidP="00CD4639">
            <w:pPr>
              <w:spacing w:after="0" w:line="240" w:lineRule="auto"/>
              <w:jc w:val="right"/>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18 933</w:t>
            </w:r>
          </w:p>
        </w:tc>
        <w:tc>
          <w:tcPr>
            <w:tcW w:w="1559" w:type="dxa"/>
            <w:tcBorders>
              <w:top w:val="nil"/>
              <w:left w:val="nil"/>
              <w:bottom w:val="single" w:sz="8" w:space="0" w:color="000000"/>
              <w:right w:val="single" w:sz="8" w:space="0" w:color="000000"/>
            </w:tcBorders>
            <w:shd w:val="clear" w:color="auto" w:fill="auto"/>
            <w:hideMark/>
          </w:tcPr>
          <w:p w14:paraId="3865BB05"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46,14%</w:t>
            </w:r>
          </w:p>
        </w:tc>
      </w:tr>
      <w:tr w:rsidR="001F3BB4" w:rsidRPr="00165244" w14:paraId="55272D54" w14:textId="77777777" w:rsidTr="001F3BB4">
        <w:trPr>
          <w:trHeight w:val="64"/>
        </w:trPr>
        <w:tc>
          <w:tcPr>
            <w:tcW w:w="1833" w:type="dxa"/>
            <w:tcBorders>
              <w:top w:val="nil"/>
              <w:left w:val="single" w:sz="8" w:space="0" w:color="000000"/>
              <w:bottom w:val="single" w:sz="8" w:space="0" w:color="000000"/>
              <w:right w:val="single" w:sz="8" w:space="0" w:color="000000"/>
            </w:tcBorders>
            <w:shd w:val="clear" w:color="auto" w:fill="auto"/>
            <w:hideMark/>
          </w:tcPr>
          <w:p w14:paraId="5B372CA7" w14:textId="77777777" w:rsidR="001F3BB4" w:rsidRPr="00165244" w:rsidRDefault="001F3BB4" w:rsidP="00CD4639">
            <w:pPr>
              <w:spacing w:after="0" w:line="240" w:lineRule="auto"/>
              <w:jc w:val="both"/>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pozabilans</w:t>
            </w:r>
          </w:p>
        </w:tc>
        <w:tc>
          <w:tcPr>
            <w:tcW w:w="1833" w:type="dxa"/>
            <w:tcBorders>
              <w:top w:val="nil"/>
              <w:left w:val="nil"/>
              <w:bottom w:val="single" w:sz="8" w:space="0" w:color="000000"/>
              <w:right w:val="single" w:sz="8" w:space="0" w:color="000000"/>
            </w:tcBorders>
            <w:shd w:val="clear" w:color="auto" w:fill="auto"/>
          </w:tcPr>
          <w:p w14:paraId="6EB8D9CF"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170</w:t>
            </w:r>
          </w:p>
        </w:tc>
        <w:tc>
          <w:tcPr>
            <w:tcW w:w="1853" w:type="dxa"/>
            <w:vMerge w:val="restart"/>
            <w:tcBorders>
              <w:top w:val="nil"/>
              <w:left w:val="single" w:sz="8" w:space="0" w:color="000000"/>
              <w:bottom w:val="nil"/>
              <w:right w:val="single" w:sz="8" w:space="0" w:color="000000"/>
            </w:tcBorders>
            <w:shd w:val="clear" w:color="auto" w:fill="auto"/>
            <w:hideMark/>
          </w:tcPr>
          <w:p w14:paraId="4488BD8E"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w:t>
            </w:r>
          </w:p>
        </w:tc>
        <w:tc>
          <w:tcPr>
            <w:tcW w:w="1984" w:type="dxa"/>
            <w:tcBorders>
              <w:top w:val="nil"/>
              <w:left w:val="nil"/>
              <w:bottom w:val="single" w:sz="8" w:space="0" w:color="000000"/>
              <w:right w:val="single" w:sz="8" w:space="0" w:color="000000"/>
            </w:tcBorders>
            <w:shd w:val="clear" w:color="auto" w:fill="auto"/>
          </w:tcPr>
          <w:p w14:paraId="4CDCC508"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326</w:t>
            </w:r>
          </w:p>
        </w:tc>
        <w:tc>
          <w:tcPr>
            <w:tcW w:w="1559" w:type="dxa"/>
            <w:vMerge w:val="restart"/>
            <w:tcBorders>
              <w:top w:val="nil"/>
              <w:left w:val="single" w:sz="8" w:space="0" w:color="000000"/>
              <w:bottom w:val="nil"/>
              <w:right w:val="nil"/>
            </w:tcBorders>
            <w:shd w:val="clear" w:color="auto" w:fill="auto"/>
            <w:hideMark/>
          </w:tcPr>
          <w:p w14:paraId="4C7F9295"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w:t>
            </w:r>
          </w:p>
        </w:tc>
      </w:tr>
      <w:tr w:rsidR="001F3BB4" w:rsidRPr="00165244" w14:paraId="48766988" w14:textId="77777777" w:rsidTr="001F3BB4">
        <w:trPr>
          <w:trHeight w:val="43"/>
        </w:trPr>
        <w:tc>
          <w:tcPr>
            <w:tcW w:w="1833" w:type="dxa"/>
            <w:tcBorders>
              <w:top w:val="nil"/>
              <w:left w:val="single" w:sz="8" w:space="0" w:color="000000"/>
              <w:bottom w:val="single" w:sz="8" w:space="0" w:color="000000"/>
              <w:right w:val="single" w:sz="8" w:space="0" w:color="000000"/>
            </w:tcBorders>
            <w:shd w:val="clear" w:color="auto" w:fill="auto"/>
            <w:hideMark/>
          </w:tcPr>
          <w:p w14:paraId="5B02C921" w14:textId="77777777" w:rsidR="001F3BB4" w:rsidRPr="00165244" w:rsidRDefault="001F3BB4" w:rsidP="00CD4639">
            <w:pPr>
              <w:spacing w:after="0" w:line="240" w:lineRule="auto"/>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RAZEM + pozabilans</w:t>
            </w:r>
          </w:p>
        </w:tc>
        <w:tc>
          <w:tcPr>
            <w:tcW w:w="1833" w:type="dxa"/>
            <w:tcBorders>
              <w:top w:val="nil"/>
              <w:left w:val="nil"/>
              <w:bottom w:val="single" w:sz="8" w:space="0" w:color="000000"/>
              <w:right w:val="single" w:sz="8" w:space="0" w:color="000000"/>
            </w:tcBorders>
            <w:shd w:val="clear" w:color="auto" w:fill="auto"/>
          </w:tcPr>
          <w:p w14:paraId="14EADA1F" w14:textId="77777777" w:rsidR="001F3BB4" w:rsidRPr="00165244" w:rsidRDefault="001F3BB4" w:rsidP="00CD4639">
            <w:pPr>
              <w:spacing w:after="0" w:line="240" w:lineRule="auto"/>
              <w:jc w:val="right"/>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12 652</w:t>
            </w:r>
          </w:p>
        </w:tc>
        <w:tc>
          <w:tcPr>
            <w:tcW w:w="1853" w:type="dxa"/>
            <w:vMerge/>
            <w:tcBorders>
              <w:top w:val="nil"/>
              <w:left w:val="single" w:sz="8" w:space="0" w:color="000000"/>
              <w:bottom w:val="nil"/>
              <w:right w:val="single" w:sz="8" w:space="0" w:color="000000"/>
            </w:tcBorders>
            <w:vAlign w:val="center"/>
            <w:hideMark/>
          </w:tcPr>
          <w:p w14:paraId="10BE96A7" w14:textId="77777777" w:rsidR="001F3BB4" w:rsidRPr="00165244" w:rsidRDefault="001F3BB4" w:rsidP="00CD4639">
            <w:pPr>
              <w:spacing w:after="0" w:line="240" w:lineRule="auto"/>
              <w:rPr>
                <w:rFonts w:ascii="Times New Roman" w:eastAsia="Times New Roman" w:hAnsi="Times New Roman" w:cs="Times New Roman"/>
                <w:color w:val="000000"/>
                <w:sz w:val="18"/>
                <w:szCs w:val="18"/>
                <w:lang w:eastAsia="pl-PL"/>
              </w:rPr>
            </w:pPr>
          </w:p>
        </w:tc>
        <w:tc>
          <w:tcPr>
            <w:tcW w:w="1984" w:type="dxa"/>
            <w:tcBorders>
              <w:top w:val="nil"/>
              <w:left w:val="nil"/>
              <w:bottom w:val="single" w:sz="8" w:space="0" w:color="000000"/>
              <w:right w:val="single" w:sz="8" w:space="0" w:color="000000"/>
            </w:tcBorders>
            <w:shd w:val="clear" w:color="auto" w:fill="auto"/>
          </w:tcPr>
          <w:p w14:paraId="7AA651C4" w14:textId="77777777" w:rsidR="001F3BB4" w:rsidRPr="00165244" w:rsidRDefault="001F3BB4" w:rsidP="00CD4639">
            <w:pPr>
              <w:spacing w:after="0" w:line="240" w:lineRule="auto"/>
              <w:jc w:val="right"/>
              <w:rPr>
                <w:rFonts w:ascii="Times New Roman" w:eastAsia="Times New Roman" w:hAnsi="Times New Roman" w:cs="Times New Roman"/>
                <w:b/>
                <w:bCs/>
                <w:color w:val="000000"/>
                <w:sz w:val="18"/>
                <w:szCs w:val="18"/>
                <w:lang w:eastAsia="pl-PL"/>
              </w:rPr>
            </w:pPr>
            <w:r w:rsidRPr="00165244">
              <w:rPr>
                <w:rFonts w:ascii="Times New Roman" w:eastAsia="Times New Roman" w:hAnsi="Times New Roman" w:cs="Times New Roman"/>
                <w:b/>
                <w:bCs/>
                <w:color w:val="000000"/>
                <w:sz w:val="18"/>
                <w:szCs w:val="18"/>
                <w:lang w:eastAsia="pl-PL"/>
              </w:rPr>
              <w:t>19 259</w:t>
            </w:r>
          </w:p>
        </w:tc>
        <w:tc>
          <w:tcPr>
            <w:tcW w:w="1559" w:type="dxa"/>
            <w:vMerge/>
            <w:tcBorders>
              <w:top w:val="nil"/>
              <w:left w:val="single" w:sz="8" w:space="0" w:color="000000"/>
              <w:bottom w:val="nil"/>
              <w:right w:val="nil"/>
            </w:tcBorders>
            <w:vAlign w:val="center"/>
            <w:hideMark/>
          </w:tcPr>
          <w:p w14:paraId="599BC8E2" w14:textId="77777777" w:rsidR="001F3BB4" w:rsidRPr="00165244" w:rsidRDefault="001F3BB4" w:rsidP="00CD4639">
            <w:pPr>
              <w:spacing w:after="0" w:line="240" w:lineRule="auto"/>
              <w:rPr>
                <w:rFonts w:ascii="Times New Roman" w:eastAsia="Times New Roman" w:hAnsi="Times New Roman" w:cs="Times New Roman"/>
                <w:color w:val="000000"/>
                <w:sz w:val="18"/>
                <w:szCs w:val="18"/>
                <w:lang w:eastAsia="pl-PL"/>
              </w:rPr>
            </w:pPr>
          </w:p>
        </w:tc>
      </w:tr>
      <w:tr w:rsidR="001F3BB4" w:rsidRPr="00165244" w14:paraId="0C9265CD" w14:textId="77777777" w:rsidTr="001F3BB4">
        <w:trPr>
          <w:trHeight w:val="43"/>
        </w:trPr>
        <w:tc>
          <w:tcPr>
            <w:tcW w:w="1833" w:type="dxa"/>
            <w:tcBorders>
              <w:top w:val="nil"/>
              <w:left w:val="single" w:sz="8" w:space="0" w:color="000000"/>
              <w:bottom w:val="single" w:sz="8" w:space="0" w:color="000000"/>
              <w:right w:val="single" w:sz="8" w:space="0" w:color="000000"/>
            </w:tcBorders>
            <w:shd w:val="clear" w:color="auto" w:fill="auto"/>
            <w:hideMark/>
          </w:tcPr>
          <w:p w14:paraId="01BB61AC" w14:textId="77777777" w:rsidR="001F3BB4" w:rsidRPr="00165244" w:rsidRDefault="001F3BB4" w:rsidP="00CD4639">
            <w:pPr>
              <w:spacing w:after="0" w:line="240" w:lineRule="auto"/>
              <w:jc w:val="both"/>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xml:space="preserve">          - odsetki</w:t>
            </w:r>
          </w:p>
        </w:tc>
        <w:tc>
          <w:tcPr>
            <w:tcW w:w="1833" w:type="dxa"/>
            <w:tcBorders>
              <w:top w:val="nil"/>
              <w:left w:val="nil"/>
              <w:bottom w:val="single" w:sz="8" w:space="0" w:color="000000"/>
              <w:right w:val="single" w:sz="8" w:space="0" w:color="000000"/>
            </w:tcBorders>
            <w:shd w:val="clear" w:color="auto" w:fill="auto"/>
          </w:tcPr>
          <w:p w14:paraId="0C9EC01B"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13</w:t>
            </w:r>
          </w:p>
        </w:tc>
        <w:tc>
          <w:tcPr>
            <w:tcW w:w="1853" w:type="dxa"/>
            <w:vMerge/>
            <w:tcBorders>
              <w:top w:val="nil"/>
              <w:left w:val="single" w:sz="8" w:space="0" w:color="000000"/>
              <w:bottom w:val="nil"/>
              <w:right w:val="single" w:sz="8" w:space="0" w:color="000000"/>
            </w:tcBorders>
            <w:vAlign w:val="center"/>
            <w:hideMark/>
          </w:tcPr>
          <w:p w14:paraId="413C7D44" w14:textId="77777777" w:rsidR="001F3BB4" w:rsidRPr="00165244" w:rsidRDefault="001F3BB4" w:rsidP="00CD4639">
            <w:pPr>
              <w:spacing w:after="0" w:line="240" w:lineRule="auto"/>
              <w:rPr>
                <w:rFonts w:ascii="Times New Roman" w:eastAsia="Times New Roman" w:hAnsi="Times New Roman" w:cs="Times New Roman"/>
                <w:color w:val="000000"/>
                <w:sz w:val="18"/>
                <w:szCs w:val="18"/>
                <w:lang w:eastAsia="pl-PL"/>
              </w:rPr>
            </w:pPr>
          </w:p>
        </w:tc>
        <w:tc>
          <w:tcPr>
            <w:tcW w:w="1984" w:type="dxa"/>
            <w:tcBorders>
              <w:top w:val="nil"/>
              <w:left w:val="nil"/>
              <w:bottom w:val="single" w:sz="8" w:space="0" w:color="000000"/>
              <w:right w:val="single" w:sz="8" w:space="0" w:color="000000"/>
            </w:tcBorders>
            <w:shd w:val="clear" w:color="auto" w:fill="auto"/>
          </w:tcPr>
          <w:p w14:paraId="489E5FAD"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18</w:t>
            </w:r>
          </w:p>
        </w:tc>
        <w:tc>
          <w:tcPr>
            <w:tcW w:w="1559" w:type="dxa"/>
            <w:vMerge/>
            <w:tcBorders>
              <w:top w:val="nil"/>
              <w:left w:val="single" w:sz="8" w:space="0" w:color="000000"/>
              <w:bottom w:val="nil"/>
              <w:right w:val="nil"/>
            </w:tcBorders>
            <w:vAlign w:val="center"/>
            <w:hideMark/>
          </w:tcPr>
          <w:p w14:paraId="7EC9536D" w14:textId="77777777" w:rsidR="001F3BB4" w:rsidRPr="00165244" w:rsidRDefault="001F3BB4" w:rsidP="00CD4639">
            <w:pPr>
              <w:spacing w:after="0" w:line="240" w:lineRule="auto"/>
              <w:rPr>
                <w:rFonts w:ascii="Times New Roman" w:eastAsia="Times New Roman" w:hAnsi="Times New Roman" w:cs="Times New Roman"/>
                <w:color w:val="000000"/>
                <w:sz w:val="18"/>
                <w:szCs w:val="18"/>
                <w:lang w:eastAsia="pl-PL"/>
              </w:rPr>
            </w:pPr>
          </w:p>
        </w:tc>
      </w:tr>
      <w:tr w:rsidR="001F3BB4" w:rsidRPr="00165244" w14:paraId="042658DA" w14:textId="77777777" w:rsidTr="001F3BB4">
        <w:trPr>
          <w:trHeight w:val="43"/>
        </w:trPr>
        <w:tc>
          <w:tcPr>
            <w:tcW w:w="1833" w:type="dxa"/>
            <w:tcBorders>
              <w:top w:val="nil"/>
              <w:left w:val="single" w:sz="8" w:space="0" w:color="000000"/>
              <w:bottom w:val="single" w:sz="8" w:space="0" w:color="000000"/>
              <w:right w:val="single" w:sz="8" w:space="0" w:color="000000"/>
            </w:tcBorders>
            <w:shd w:val="clear" w:color="auto" w:fill="auto"/>
            <w:hideMark/>
          </w:tcPr>
          <w:p w14:paraId="67581DD8" w14:textId="77777777" w:rsidR="001F3BB4" w:rsidRPr="00165244" w:rsidRDefault="001F3BB4" w:rsidP="00CD4639">
            <w:pPr>
              <w:spacing w:after="0" w:line="240" w:lineRule="auto"/>
              <w:jc w:val="both"/>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xml:space="preserve">          - rezerwa</w:t>
            </w:r>
          </w:p>
        </w:tc>
        <w:tc>
          <w:tcPr>
            <w:tcW w:w="1833" w:type="dxa"/>
            <w:tcBorders>
              <w:top w:val="nil"/>
              <w:left w:val="nil"/>
              <w:bottom w:val="single" w:sz="8" w:space="0" w:color="000000"/>
              <w:right w:val="single" w:sz="8" w:space="0" w:color="000000"/>
            </w:tcBorders>
            <w:shd w:val="clear" w:color="auto" w:fill="auto"/>
          </w:tcPr>
          <w:p w14:paraId="3A7DE666"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38</w:t>
            </w:r>
          </w:p>
        </w:tc>
        <w:tc>
          <w:tcPr>
            <w:tcW w:w="1853" w:type="dxa"/>
            <w:vMerge/>
            <w:tcBorders>
              <w:top w:val="nil"/>
              <w:left w:val="single" w:sz="8" w:space="0" w:color="000000"/>
              <w:bottom w:val="nil"/>
              <w:right w:val="single" w:sz="8" w:space="0" w:color="000000"/>
            </w:tcBorders>
            <w:vAlign w:val="center"/>
            <w:hideMark/>
          </w:tcPr>
          <w:p w14:paraId="0AFCA55C" w14:textId="77777777" w:rsidR="001F3BB4" w:rsidRPr="00165244" w:rsidRDefault="001F3BB4" w:rsidP="00CD4639">
            <w:pPr>
              <w:spacing w:after="0" w:line="240" w:lineRule="auto"/>
              <w:rPr>
                <w:rFonts w:ascii="Times New Roman" w:eastAsia="Times New Roman" w:hAnsi="Times New Roman" w:cs="Times New Roman"/>
                <w:color w:val="000000"/>
                <w:sz w:val="18"/>
                <w:szCs w:val="18"/>
                <w:lang w:eastAsia="pl-PL"/>
              </w:rPr>
            </w:pPr>
          </w:p>
        </w:tc>
        <w:tc>
          <w:tcPr>
            <w:tcW w:w="1984" w:type="dxa"/>
            <w:tcBorders>
              <w:top w:val="nil"/>
              <w:left w:val="nil"/>
              <w:bottom w:val="single" w:sz="8" w:space="0" w:color="000000"/>
              <w:right w:val="single" w:sz="8" w:space="0" w:color="000000"/>
            </w:tcBorders>
            <w:shd w:val="clear" w:color="auto" w:fill="auto"/>
          </w:tcPr>
          <w:p w14:paraId="196066C8"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765</w:t>
            </w:r>
          </w:p>
        </w:tc>
        <w:tc>
          <w:tcPr>
            <w:tcW w:w="1559" w:type="dxa"/>
            <w:vMerge/>
            <w:tcBorders>
              <w:top w:val="nil"/>
              <w:left w:val="single" w:sz="8" w:space="0" w:color="000000"/>
              <w:bottom w:val="nil"/>
              <w:right w:val="nil"/>
            </w:tcBorders>
            <w:vAlign w:val="center"/>
            <w:hideMark/>
          </w:tcPr>
          <w:p w14:paraId="2253CE84" w14:textId="77777777" w:rsidR="001F3BB4" w:rsidRPr="00165244" w:rsidRDefault="001F3BB4" w:rsidP="00CD4639">
            <w:pPr>
              <w:spacing w:after="0" w:line="240" w:lineRule="auto"/>
              <w:rPr>
                <w:rFonts w:ascii="Times New Roman" w:eastAsia="Times New Roman" w:hAnsi="Times New Roman" w:cs="Times New Roman"/>
                <w:color w:val="000000"/>
                <w:sz w:val="18"/>
                <w:szCs w:val="18"/>
                <w:lang w:eastAsia="pl-PL"/>
              </w:rPr>
            </w:pPr>
          </w:p>
        </w:tc>
      </w:tr>
      <w:tr w:rsidR="001F3BB4" w:rsidRPr="00165244" w14:paraId="332D152C" w14:textId="77777777" w:rsidTr="001F3BB4">
        <w:trPr>
          <w:trHeight w:val="43"/>
        </w:trPr>
        <w:tc>
          <w:tcPr>
            <w:tcW w:w="1833" w:type="dxa"/>
            <w:tcBorders>
              <w:top w:val="nil"/>
              <w:left w:val="single" w:sz="8" w:space="0" w:color="000000"/>
              <w:bottom w:val="single" w:sz="8" w:space="0" w:color="000000"/>
              <w:right w:val="single" w:sz="8" w:space="0" w:color="000000"/>
            </w:tcBorders>
            <w:shd w:val="clear" w:color="auto" w:fill="auto"/>
            <w:hideMark/>
          </w:tcPr>
          <w:p w14:paraId="4E2B4DD4" w14:textId="77777777" w:rsidR="001F3BB4" w:rsidRPr="00165244" w:rsidRDefault="001F3BB4" w:rsidP="00CD4639">
            <w:pPr>
              <w:spacing w:after="0" w:line="240" w:lineRule="auto"/>
              <w:jc w:val="both"/>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 xml:space="preserve">          - ESP</w:t>
            </w:r>
          </w:p>
        </w:tc>
        <w:tc>
          <w:tcPr>
            <w:tcW w:w="1833" w:type="dxa"/>
            <w:tcBorders>
              <w:top w:val="nil"/>
              <w:left w:val="nil"/>
              <w:bottom w:val="single" w:sz="8" w:space="0" w:color="000000"/>
              <w:right w:val="single" w:sz="8" w:space="0" w:color="000000"/>
            </w:tcBorders>
            <w:shd w:val="clear" w:color="auto" w:fill="auto"/>
          </w:tcPr>
          <w:p w14:paraId="6E55A56A"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67</w:t>
            </w:r>
          </w:p>
        </w:tc>
        <w:tc>
          <w:tcPr>
            <w:tcW w:w="1853" w:type="dxa"/>
            <w:vMerge/>
            <w:tcBorders>
              <w:top w:val="nil"/>
              <w:left w:val="single" w:sz="8" w:space="0" w:color="000000"/>
              <w:bottom w:val="nil"/>
              <w:right w:val="single" w:sz="8" w:space="0" w:color="000000"/>
            </w:tcBorders>
            <w:vAlign w:val="center"/>
            <w:hideMark/>
          </w:tcPr>
          <w:p w14:paraId="66B7C6D2" w14:textId="77777777" w:rsidR="001F3BB4" w:rsidRPr="00165244" w:rsidRDefault="001F3BB4" w:rsidP="00CD4639">
            <w:pPr>
              <w:spacing w:after="0" w:line="240" w:lineRule="auto"/>
              <w:rPr>
                <w:rFonts w:ascii="Times New Roman" w:eastAsia="Times New Roman" w:hAnsi="Times New Roman" w:cs="Times New Roman"/>
                <w:color w:val="000000"/>
                <w:sz w:val="18"/>
                <w:szCs w:val="18"/>
                <w:lang w:eastAsia="pl-PL"/>
              </w:rPr>
            </w:pPr>
          </w:p>
        </w:tc>
        <w:tc>
          <w:tcPr>
            <w:tcW w:w="1984" w:type="dxa"/>
            <w:tcBorders>
              <w:top w:val="nil"/>
              <w:left w:val="nil"/>
              <w:bottom w:val="single" w:sz="8" w:space="0" w:color="000000"/>
              <w:right w:val="single" w:sz="8" w:space="0" w:color="000000"/>
            </w:tcBorders>
            <w:shd w:val="clear" w:color="auto" w:fill="auto"/>
          </w:tcPr>
          <w:p w14:paraId="3353551C" w14:textId="77777777" w:rsidR="001F3BB4" w:rsidRPr="00165244" w:rsidRDefault="001F3BB4" w:rsidP="00CD4639">
            <w:pPr>
              <w:spacing w:after="0" w:line="240" w:lineRule="auto"/>
              <w:jc w:val="right"/>
              <w:rPr>
                <w:rFonts w:ascii="Times New Roman" w:eastAsia="Times New Roman" w:hAnsi="Times New Roman" w:cs="Times New Roman"/>
                <w:color w:val="000000"/>
                <w:sz w:val="18"/>
                <w:szCs w:val="18"/>
                <w:lang w:eastAsia="pl-PL"/>
              </w:rPr>
            </w:pPr>
            <w:r w:rsidRPr="00165244">
              <w:rPr>
                <w:rFonts w:ascii="Times New Roman" w:eastAsia="Times New Roman" w:hAnsi="Times New Roman" w:cs="Times New Roman"/>
                <w:color w:val="000000"/>
                <w:sz w:val="18"/>
                <w:szCs w:val="18"/>
                <w:lang w:eastAsia="pl-PL"/>
              </w:rPr>
              <w:t>105</w:t>
            </w:r>
          </w:p>
        </w:tc>
        <w:tc>
          <w:tcPr>
            <w:tcW w:w="1559" w:type="dxa"/>
            <w:vMerge/>
            <w:tcBorders>
              <w:top w:val="nil"/>
              <w:left w:val="single" w:sz="8" w:space="0" w:color="000000"/>
              <w:bottom w:val="nil"/>
              <w:right w:val="nil"/>
            </w:tcBorders>
            <w:vAlign w:val="center"/>
            <w:hideMark/>
          </w:tcPr>
          <w:p w14:paraId="1EF4DF74" w14:textId="77777777" w:rsidR="001F3BB4" w:rsidRPr="00165244" w:rsidRDefault="001F3BB4" w:rsidP="00CD4639">
            <w:pPr>
              <w:spacing w:after="0" w:line="240" w:lineRule="auto"/>
              <w:rPr>
                <w:rFonts w:ascii="Times New Roman" w:eastAsia="Times New Roman" w:hAnsi="Times New Roman" w:cs="Times New Roman"/>
                <w:color w:val="000000"/>
                <w:sz w:val="18"/>
                <w:szCs w:val="18"/>
                <w:lang w:eastAsia="pl-PL"/>
              </w:rPr>
            </w:pPr>
          </w:p>
        </w:tc>
      </w:tr>
    </w:tbl>
    <w:p w14:paraId="7C54EC54" w14:textId="77777777" w:rsidR="007570C4" w:rsidRPr="001F3BB4" w:rsidRDefault="007570C4" w:rsidP="001F3BB4">
      <w:pPr>
        <w:jc w:val="both"/>
        <w:rPr>
          <w:rFonts w:ascii="Times New Roman" w:hAnsi="Times New Roman" w:cs="Times New Roman"/>
          <w:b/>
          <w:i/>
          <w:sz w:val="24"/>
        </w:rPr>
      </w:pPr>
    </w:p>
    <w:p w14:paraId="60FB3CB0" w14:textId="77777777" w:rsidR="00AE50B7" w:rsidRPr="00B43325" w:rsidRDefault="00AE50B7" w:rsidP="00B43325">
      <w:pPr>
        <w:pStyle w:val="Akapitzlist"/>
        <w:numPr>
          <w:ilvl w:val="0"/>
          <w:numId w:val="6"/>
        </w:numPr>
        <w:ind w:left="993"/>
        <w:jc w:val="both"/>
        <w:rPr>
          <w:rFonts w:ascii="Times New Roman" w:hAnsi="Times New Roman" w:cs="Times New Roman"/>
          <w:b/>
        </w:rPr>
      </w:pPr>
      <w:r w:rsidRPr="00B43325">
        <w:rPr>
          <w:rFonts w:ascii="Times New Roman" w:hAnsi="Times New Roman" w:cs="Times New Roman"/>
          <w:b/>
        </w:rPr>
        <w:lastRenderedPageBreak/>
        <w:t>Wartość ekspozycji zagrożonych, w tym przeterminowanych oraz kwoty korekt wartości rezerw w podziale na istotne branże.(dane w tys. zł)</w:t>
      </w:r>
    </w:p>
    <w:tbl>
      <w:tblPr>
        <w:tblStyle w:val="Tabela-Siatka"/>
        <w:tblW w:w="9068" w:type="dxa"/>
        <w:tblLayout w:type="fixed"/>
        <w:tblLook w:val="04A0" w:firstRow="1" w:lastRow="0" w:firstColumn="1" w:lastColumn="0" w:noHBand="0" w:noVBand="1"/>
      </w:tblPr>
      <w:tblGrid>
        <w:gridCol w:w="639"/>
        <w:gridCol w:w="1737"/>
        <w:gridCol w:w="1163"/>
        <w:gridCol w:w="1134"/>
        <w:gridCol w:w="993"/>
        <w:gridCol w:w="1134"/>
        <w:gridCol w:w="1134"/>
        <w:gridCol w:w="1134"/>
      </w:tblGrid>
      <w:tr w:rsidR="00AE50B7" w:rsidRPr="007C351F" w14:paraId="7828E742" w14:textId="77777777" w:rsidTr="007E442C">
        <w:tc>
          <w:tcPr>
            <w:tcW w:w="639" w:type="dxa"/>
            <w:vAlign w:val="center"/>
          </w:tcPr>
          <w:p w14:paraId="2154149D" w14:textId="77777777" w:rsidR="00AE50B7" w:rsidRPr="007C351F" w:rsidRDefault="00AE50B7" w:rsidP="00AE50B7">
            <w:pPr>
              <w:jc w:val="center"/>
              <w:rPr>
                <w:rFonts w:ascii="Times New Roman" w:hAnsi="Times New Roman" w:cs="Times New Roman"/>
                <w:b/>
                <w:sz w:val="18"/>
                <w:szCs w:val="18"/>
              </w:rPr>
            </w:pPr>
          </w:p>
        </w:tc>
        <w:tc>
          <w:tcPr>
            <w:tcW w:w="1737" w:type="dxa"/>
            <w:vAlign w:val="center"/>
          </w:tcPr>
          <w:p w14:paraId="31A79B5C" w14:textId="77777777" w:rsidR="00AE50B7" w:rsidRPr="007C351F" w:rsidRDefault="00AE50B7" w:rsidP="00AE50B7">
            <w:pPr>
              <w:jc w:val="center"/>
              <w:rPr>
                <w:rFonts w:ascii="Times New Roman" w:hAnsi="Times New Roman" w:cs="Times New Roman"/>
                <w:b/>
                <w:sz w:val="18"/>
                <w:szCs w:val="18"/>
              </w:rPr>
            </w:pPr>
          </w:p>
        </w:tc>
        <w:tc>
          <w:tcPr>
            <w:tcW w:w="3290" w:type="dxa"/>
            <w:gridSpan w:val="3"/>
            <w:vAlign w:val="center"/>
          </w:tcPr>
          <w:p w14:paraId="05FFE77A" w14:textId="77777777" w:rsidR="00AE50B7" w:rsidRPr="007C351F" w:rsidRDefault="00AE50B7" w:rsidP="00AE50B7">
            <w:pPr>
              <w:jc w:val="center"/>
              <w:rPr>
                <w:rFonts w:ascii="Times New Roman" w:hAnsi="Times New Roman" w:cs="Times New Roman"/>
                <w:b/>
                <w:sz w:val="18"/>
                <w:szCs w:val="18"/>
              </w:rPr>
            </w:pPr>
            <w:r w:rsidRPr="007C351F">
              <w:rPr>
                <w:rFonts w:ascii="Times New Roman" w:hAnsi="Times New Roman" w:cs="Times New Roman"/>
                <w:b/>
                <w:sz w:val="18"/>
                <w:szCs w:val="18"/>
              </w:rPr>
              <w:t>Kredyty zagrożone</w:t>
            </w:r>
          </w:p>
        </w:tc>
        <w:tc>
          <w:tcPr>
            <w:tcW w:w="1134" w:type="dxa"/>
            <w:vMerge w:val="restart"/>
          </w:tcPr>
          <w:p w14:paraId="455FD8A2" w14:textId="77777777" w:rsidR="00AE50B7" w:rsidRPr="007C351F" w:rsidRDefault="00AE50B7" w:rsidP="00AE50B7">
            <w:pPr>
              <w:jc w:val="center"/>
              <w:rPr>
                <w:rFonts w:ascii="Times New Roman" w:hAnsi="Times New Roman" w:cs="Times New Roman"/>
                <w:b/>
                <w:sz w:val="18"/>
                <w:szCs w:val="18"/>
              </w:rPr>
            </w:pPr>
            <w:r w:rsidRPr="007C351F">
              <w:rPr>
                <w:rFonts w:ascii="Times New Roman" w:hAnsi="Times New Roman" w:cs="Times New Roman"/>
                <w:b/>
                <w:sz w:val="18"/>
                <w:szCs w:val="18"/>
              </w:rPr>
              <w:t>Razem kredyty zagrożone</w:t>
            </w:r>
          </w:p>
        </w:tc>
        <w:tc>
          <w:tcPr>
            <w:tcW w:w="1134" w:type="dxa"/>
            <w:vMerge w:val="restart"/>
            <w:vAlign w:val="center"/>
          </w:tcPr>
          <w:p w14:paraId="0906AA3A" w14:textId="77777777" w:rsidR="00AE50B7" w:rsidRPr="007C351F" w:rsidRDefault="00AE50B7" w:rsidP="00AE50B7">
            <w:pPr>
              <w:jc w:val="center"/>
              <w:rPr>
                <w:rFonts w:ascii="Times New Roman" w:hAnsi="Times New Roman" w:cs="Times New Roman"/>
                <w:b/>
                <w:sz w:val="18"/>
                <w:szCs w:val="18"/>
              </w:rPr>
            </w:pPr>
            <w:r w:rsidRPr="007C351F">
              <w:rPr>
                <w:rFonts w:ascii="Times New Roman" w:hAnsi="Times New Roman" w:cs="Times New Roman"/>
                <w:b/>
                <w:sz w:val="18"/>
                <w:szCs w:val="18"/>
              </w:rPr>
              <w:t>Rezerwa</w:t>
            </w:r>
          </w:p>
        </w:tc>
        <w:tc>
          <w:tcPr>
            <w:tcW w:w="1134" w:type="dxa"/>
            <w:vMerge w:val="restart"/>
          </w:tcPr>
          <w:p w14:paraId="5FBD31B5" w14:textId="77777777" w:rsidR="00AE50B7" w:rsidRPr="007C351F" w:rsidRDefault="00AE50B7" w:rsidP="00AE50B7">
            <w:pPr>
              <w:jc w:val="center"/>
              <w:rPr>
                <w:rFonts w:ascii="Times New Roman" w:hAnsi="Times New Roman" w:cs="Times New Roman"/>
                <w:b/>
                <w:sz w:val="18"/>
                <w:szCs w:val="18"/>
              </w:rPr>
            </w:pPr>
            <w:r w:rsidRPr="007C351F">
              <w:rPr>
                <w:rFonts w:ascii="Times New Roman" w:hAnsi="Times New Roman" w:cs="Times New Roman"/>
                <w:b/>
                <w:sz w:val="18"/>
                <w:szCs w:val="18"/>
              </w:rPr>
              <w:t xml:space="preserve">Przeterminowania </w:t>
            </w:r>
          </w:p>
        </w:tc>
      </w:tr>
      <w:tr w:rsidR="00AE50B7" w:rsidRPr="007C351F" w14:paraId="11921465" w14:textId="77777777" w:rsidTr="007E442C">
        <w:tc>
          <w:tcPr>
            <w:tcW w:w="639" w:type="dxa"/>
            <w:vAlign w:val="center"/>
          </w:tcPr>
          <w:p w14:paraId="543CCE81" w14:textId="77777777" w:rsidR="00AE50B7" w:rsidRPr="007C351F" w:rsidRDefault="00AE50B7" w:rsidP="00AE50B7">
            <w:pPr>
              <w:jc w:val="center"/>
              <w:rPr>
                <w:rFonts w:ascii="Times New Roman" w:hAnsi="Times New Roman" w:cs="Times New Roman"/>
                <w:b/>
                <w:sz w:val="18"/>
                <w:szCs w:val="18"/>
              </w:rPr>
            </w:pPr>
            <w:r w:rsidRPr="007C351F">
              <w:rPr>
                <w:rFonts w:ascii="Times New Roman" w:hAnsi="Times New Roman" w:cs="Times New Roman"/>
                <w:b/>
                <w:sz w:val="18"/>
                <w:szCs w:val="18"/>
              </w:rPr>
              <w:t>Lp.</w:t>
            </w:r>
          </w:p>
        </w:tc>
        <w:tc>
          <w:tcPr>
            <w:tcW w:w="1737" w:type="dxa"/>
            <w:vAlign w:val="center"/>
          </w:tcPr>
          <w:p w14:paraId="3BCB0AB2" w14:textId="77777777" w:rsidR="00AE50B7" w:rsidRPr="007C351F" w:rsidRDefault="00AE50B7" w:rsidP="00AE50B7">
            <w:pPr>
              <w:jc w:val="center"/>
              <w:rPr>
                <w:rFonts w:ascii="Times New Roman" w:hAnsi="Times New Roman" w:cs="Times New Roman"/>
                <w:b/>
                <w:sz w:val="18"/>
                <w:szCs w:val="18"/>
              </w:rPr>
            </w:pPr>
            <w:r w:rsidRPr="007C351F">
              <w:rPr>
                <w:rFonts w:ascii="Times New Roman" w:hAnsi="Times New Roman" w:cs="Times New Roman"/>
                <w:b/>
                <w:sz w:val="18"/>
                <w:szCs w:val="18"/>
              </w:rPr>
              <w:t>Rodzaj podmiotu</w:t>
            </w:r>
          </w:p>
        </w:tc>
        <w:tc>
          <w:tcPr>
            <w:tcW w:w="1163" w:type="dxa"/>
            <w:vAlign w:val="center"/>
          </w:tcPr>
          <w:p w14:paraId="776634B7" w14:textId="77777777" w:rsidR="00AE50B7" w:rsidRPr="007C351F" w:rsidRDefault="00AE50B7" w:rsidP="00AE50B7">
            <w:pPr>
              <w:jc w:val="center"/>
              <w:rPr>
                <w:rFonts w:ascii="Times New Roman" w:hAnsi="Times New Roman" w:cs="Times New Roman"/>
                <w:b/>
                <w:sz w:val="18"/>
                <w:szCs w:val="18"/>
              </w:rPr>
            </w:pPr>
            <w:r w:rsidRPr="007C351F">
              <w:rPr>
                <w:rFonts w:ascii="Times New Roman" w:hAnsi="Times New Roman" w:cs="Times New Roman"/>
                <w:b/>
                <w:sz w:val="18"/>
                <w:szCs w:val="18"/>
              </w:rPr>
              <w:t>Poniżej standardu</w:t>
            </w:r>
          </w:p>
        </w:tc>
        <w:tc>
          <w:tcPr>
            <w:tcW w:w="1134" w:type="dxa"/>
            <w:vAlign w:val="center"/>
          </w:tcPr>
          <w:p w14:paraId="27013975" w14:textId="77777777" w:rsidR="00AE50B7" w:rsidRPr="007C351F" w:rsidRDefault="00AE50B7" w:rsidP="00AE50B7">
            <w:pPr>
              <w:jc w:val="center"/>
              <w:rPr>
                <w:rFonts w:ascii="Times New Roman" w:hAnsi="Times New Roman" w:cs="Times New Roman"/>
                <w:b/>
                <w:sz w:val="18"/>
                <w:szCs w:val="18"/>
              </w:rPr>
            </w:pPr>
            <w:r w:rsidRPr="007C351F">
              <w:rPr>
                <w:rFonts w:ascii="Times New Roman" w:hAnsi="Times New Roman" w:cs="Times New Roman"/>
                <w:b/>
                <w:sz w:val="18"/>
                <w:szCs w:val="18"/>
              </w:rPr>
              <w:t>Wątpliwe</w:t>
            </w:r>
          </w:p>
        </w:tc>
        <w:tc>
          <w:tcPr>
            <w:tcW w:w="993" w:type="dxa"/>
            <w:vAlign w:val="center"/>
          </w:tcPr>
          <w:p w14:paraId="75060369" w14:textId="77777777" w:rsidR="00AE50B7" w:rsidRPr="007C351F" w:rsidRDefault="00AE50B7" w:rsidP="00AE50B7">
            <w:pPr>
              <w:jc w:val="center"/>
              <w:rPr>
                <w:rFonts w:ascii="Times New Roman" w:hAnsi="Times New Roman" w:cs="Times New Roman"/>
                <w:b/>
                <w:sz w:val="18"/>
                <w:szCs w:val="18"/>
              </w:rPr>
            </w:pPr>
            <w:r w:rsidRPr="007C351F">
              <w:rPr>
                <w:rFonts w:ascii="Times New Roman" w:hAnsi="Times New Roman" w:cs="Times New Roman"/>
                <w:b/>
                <w:sz w:val="18"/>
                <w:szCs w:val="18"/>
              </w:rPr>
              <w:t>Stracone</w:t>
            </w:r>
          </w:p>
        </w:tc>
        <w:tc>
          <w:tcPr>
            <w:tcW w:w="1134" w:type="dxa"/>
            <w:vMerge/>
          </w:tcPr>
          <w:p w14:paraId="02BDBF0C" w14:textId="77777777" w:rsidR="00AE50B7" w:rsidRPr="007C351F" w:rsidRDefault="00AE50B7" w:rsidP="00AE50B7">
            <w:pPr>
              <w:jc w:val="center"/>
              <w:rPr>
                <w:rFonts w:ascii="Times New Roman" w:hAnsi="Times New Roman" w:cs="Times New Roman"/>
                <w:b/>
                <w:sz w:val="18"/>
                <w:szCs w:val="18"/>
              </w:rPr>
            </w:pPr>
          </w:p>
        </w:tc>
        <w:tc>
          <w:tcPr>
            <w:tcW w:w="1134" w:type="dxa"/>
            <w:vMerge/>
          </w:tcPr>
          <w:p w14:paraId="4456D20D" w14:textId="77777777" w:rsidR="00AE50B7" w:rsidRPr="007C351F" w:rsidRDefault="00AE50B7" w:rsidP="00AE50B7">
            <w:pPr>
              <w:jc w:val="center"/>
              <w:rPr>
                <w:rFonts w:ascii="Times New Roman" w:hAnsi="Times New Roman" w:cs="Times New Roman"/>
                <w:b/>
                <w:sz w:val="18"/>
                <w:szCs w:val="18"/>
              </w:rPr>
            </w:pPr>
          </w:p>
        </w:tc>
        <w:tc>
          <w:tcPr>
            <w:tcW w:w="1134" w:type="dxa"/>
            <w:vMerge/>
          </w:tcPr>
          <w:p w14:paraId="51C51A62" w14:textId="77777777" w:rsidR="00AE50B7" w:rsidRPr="007C351F" w:rsidRDefault="00AE50B7" w:rsidP="00AE50B7">
            <w:pPr>
              <w:jc w:val="center"/>
              <w:rPr>
                <w:rFonts w:ascii="Times New Roman" w:hAnsi="Times New Roman" w:cs="Times New Roman"/>
                <w:b/>
                <w:sz w:val="18"/>
                <w:szCs w:val="18"/>
              </w:rPr>
            </w:pPr>
          </w:p>
        </w:tc>
      </w:tr>
      <w:tr w:rsidR="00AE50B7" w:rsidRPr="007C351F" w14:paraId="20352D2A" w14:textId="77777777" w:rsidTr="007E442C">
        <w:tc>
          <w:tcPr>
            <w:tcW w:w="639" w:type="dxa"/>
            <w:vAlign w:val="center"/>
          </w:tcPr>
          <w:p w14:paraId="2C2524A9" w14:textId="77777777" w:rsidR="00AE50B7" w:rsidRPr="007C351F" w:rsidRDefault="00CA1B56" w:rsidP="00AE50B7">
            <w:pPr>
              <w:jc w:val="center"/>
              <w:rPr>
                <w:rFonts w:ascii="Times New Roman" w:hAnsi="Times New Roman" w:cs="Times New Roman"/>
                <w:b/>
                <w:sz w:val="18"/>
                <w:szCs w:val="18"/>
              </w:rPr>
            </w:pPr>
            <w:r w:rsidRPr="007C351F">
              <w:rPr>
                <w:rFonts w:ascii="Times New Roman" w:hAnsi="Times New Roman" w:cs="Times New Roman"/>
                <w:b/>
                <w:sz w:val="18"/>
                <w:szCs w:val="18"/>
              </w:rPr>
              <w:t>1</w:t>
            </w:r>
            <w:r w:rsidR="00AE50B7" w:rsidRPr="007C351F">
              <w:rPr>
                <w:rFonts w:ascii="Times New Roman" w:hAnsi="Times New Roman" w:cs="Times New Roman"/>
                <w:b/>
                <w:sz w:val="18"/>
                <w:szCs w:val="18"/>
              </w:rPr>
              <w:t>.</w:t>
            </w:r>
          </w:p>
        </w:tc>
        <w:tc>
          <w:tcPr>
            <w:tcW w:w="1737" w:type="dxa"/>
            <w:vAlign w:val="center"/>
          </w:tcPr>
          <w:p w14:paraId="27FC2330" w14:textId="77777777" w:rsidR="00AE50B7" w:rsidRPr="007C351F" w:rsidRDefault="00AE50B7" w:rsidP="00AE50B7">
            <w:pPr>
              <w:rPr>
                <w:rFonts w:ascii="Times New Roman" w:eastAsia="Times New Roman" w:hAnsi="Times New Roman" w:cs="Times New Roman"/>
                <w:color w:val="000000"/>
                <w:sz w:val="18"/>
                <w:szCs w:val="18"/>
                <w:lang w:eastAsia="pl-PL"/>
              </w:rPr>
            </w:pPr>
            <w:r w:rsidRPr="007C351F">
              <w:rPr>
                <w:rFonts w:ascii="Times New Roman" w:eastAsia="Times New Roman" w:hAnsi="Times New Roman" w:cs="Times New Roman"/>
                <w:color w:val="000000"/>
                <w:sz w:val="18"/>
                <w:szCs w:val="18"/>
                <w:lang w:eastAsia="pl-PL"/>
              </w:rPr>
              <w:t>Budownictwo</w:t>
            </w:r>
          </w:p>
        </w:tc>
        <w:tc>
          <w:tcPr>
            <w:tcW w:w="1163" w:type="dxa"/>
            <w:vAlign w:val="center"/>
          </w:tcPr>
          <w:p w14:paraId="0EDEC055" w14:textId="77777777" w:rsidR="00AE50B7" w:rsidRPr="007C351F" w:rsidRDefault="003D6EE1" w:rsidP="00AE50B7">
            <w:pPr>
              <w:jc w:val="right"/>
              <w:rPr>
                <w:rFonts w:ascii="Times New Roman" w:eastAsia="Times New Roman" w:hAnsi="Times New Roman" w:cs="Times New Roman"/>
                <w:sz w:val="18"/>
                <w:szCs w:val="18"/>
                <w:lang w:eastAsia="pl-PL"/>
              </w:rPr>
            </w:pPr>
            <w:r w:rsidRPr="007C351F">
              <w:rPr>
                <w:rFonts w:ascii="Times New Roman" w:eastAsia="Times New Roman" w:hAnsi="Times New Roman" w:cs="Times New Roman"/>
                <w:sz w:val="18"/>
                <w:szCs w:val="18"/>
                <w:lang w:eastAsia="pl-PL"/>
              </w:rPr>
              <w:t>0</w:t>
            </w:r>
          </w:p>
        </w:tc>
        <w:tc>
          <w:tcPr>
            <w:tcW w:w="1134" w:type="dxa"/>
            <w:vAlign w:val="center"/>
          </w:tcPr>
          <w:p w14:paraId="128532D5" w14:textId="77777777" w:rsidR="00AE50B7" w:rsidRPr="007C351F" w:rsidRDefault="00AE50B7" w:rsidP="00AE50B7">
            <w:pPr>
              <w:jc w:val="right"/>
              <w:rPr>
                <w:rFonts w:ascii="Times New Roman" w:eastAsia="Times New Roman" w:hAnsi="Times New Roman" w:cs="Times New Roman"/>
                <w:sz w:val="18"/>
                <w:szCs w:val="18"/>
                <w:lang w:eastAsia="pl-PL"/>
              </w:rPr>
            </w:pPr>
            <w:r w:rsidRPr="007C351F">
              <w:rPr>
                <w:rFonts w:ascii="Times New Roman" w:eastAsia="Times New Roman" w:hAnsi="Times New Roman" w:cs="Times New Roman"/>
                <w:sz w:val="18"/>
                <w:szCs w:val="18"/>
                <w:lang w:eastAsia="pl-PL"/>
              </w:rPr>
              <w:t>0</w:t>
            </w:r>
          </w:p>
        </w:tc>
        <w:tc>
          <w:tcPr>
            <w:tcW w:w="993" w:type="dxa"/>
            <w:vAlign w:val="center"/>
          </w:tcPr>
          <w:p w14:paraId="1AFBC077" w14:textId="548AA111" w:rsidR="00AE50B7" w:rsidRPr="007C351F" w:rsidRDefault="00B43325" w:rsidP="00AE50B7">
            <w:pPr>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68 004,45</w:t>
            </w:r>
          </w:p>
        </w:tc>
        <w:tc>
          <w:tcPr>
            <w:tcW w:w="1134" w:type="dxa"/>
            <w:vAlign w:val="center"/>
          </w:tcPr>
          <w:p w14:paraId="471359B7" w14:textId="452ACCE3" w:rsidR="00AE50B7" w:rsidRPr="007C351F" w:rsidRDefault="007E442C" w:rsidP="00AE50B7">
            <w:pPr>
              <w:jc w:val="right"/>
              <w:rPr>
                <w:rFonts w:ascii="Times New Roman" w:hAnsi="Times New Roman" w:cs="Times New Roman"/>
                <w:b/>
                <w:sz w:val="18"/>
                <w:szCs w:val="18"/>
              </w:rPr>
            </w:pPr>
            <w:r>
              <w:rPr>
                <w:rFonts w:ascii="Times New Roman" w:hAnsi="Times New Roman" w:cs="Times New Roman"/>
                <w:b/>
                <w:sz w:val="18"/>
                <w:szCs w:val="18"/>
              </w:rPr>
              <w:t>68</w:t>
            </w:r>
          </w:p>
        </w:tc>
        <w:tc>
          <w:tcPr>
            <w:tcW w:w="1134" w:type="dxa"/>
            <w:vAlign w:val="center"/>
          </w:tcPr>
          <w:p w14:paraId="4C659C11" w14:textId="3AAF66C8" w:rsidR="00AE50B7" w:rsidRPr="007C351F" w:rsidRDefault="007E442C" w:rsidP="00AE50B7">
            <w:pPr>
              <w:jc w:val="right"/>
              <w:rPr>
                <w:rFonts w:ascii="Times New Roman" w:hAnsi="Times New Roman" w:cs="Times New Roman"/>
                <w:sz w:val="18"/>
                <w:szCs w:val="18"/>
              </w:rPr>
            </w:pPr>
            <w:r>
              <w:rPr>
                <w:rFonts w:ascii="Times New Roman" w:hAnsi="Times New Roman" w:cs="Times New Roman"/>
                <w:sz w:val="18"/>
                <w:szCs w:val="18"/>
              </w:rPr>
              <w:t>40</w:t>
            </w:r>
          </w:p>
        </w:tc>
        <w:tc>
          <w:tcPr>
            <w:tcW w:w="1134" w:type="dxa"/>
            <w:vAlign w:val="center"/>
          </w:tcPr>
          <w:p w14:paraId="7121292A" w14:textId="0AE7EE0E" w:rsidR="00AE50B7" w:rsidRPr="007C351F" w:rsidRDefault="00E2312E" w:rsidP="00AE50B7">
            <w:pPr>
              <w:jc w:val="right"/>
              <w:rPr>
                <w:rFonts w:ascii="Times New Roman" w:hAnsi="Times New Roman" w:cs="Times New Roman"/>
                <w:sz w:val="18"/>
                <w:szCs w:val="18"/>
              </w:rPr>
            </w:pPr>
            <w:r>
              <w:rPr>
                <w:rFonts w:ascii="Times New Roman" w:hAnsi="Times New Roman" w:cs="Times New Roman"/>
                <w:sz w:val="18"/>
                <w:szCs w:val="18"/>
              </w:rPr>
              <w:t>40</w:t>
            </w:r>
          </w:p>
        </w:tc>
      </w:tr>
      <w:tr w:rsidR="007C351F" w:rsidRPr="007C351F" w14:paraId="1F04CF2D" w14:textId="77777777" w:rsidTr="007E442C">
        <w:tc>
          <w:tcPr>
            <w:tcW w:w="639" w:type="dxa"/>
            <w:vAlign w:val="center"/>
          </w:tcPr>
          <w:p w14:paraId="3312764E" w14:textId="77777777" w:rsidR="007C351F" w:rsidRPr="007C351F" w:rsidRDefault="007C351F" w:rsidP="007C351F">
            <w:pPr>
              <w:jc w:val="center"/>
              <w:rPr>
                <w:rFonts w:ascii="Times New Roman" w:hAnsi="Times New Roman" w:cs="Times New Roman"/>
                <w:b/>
                <w:sz w:val="18"/>
                <w:szCs w:val="18"/>
              </w:rPr>
            </w:pPr>
            <w:r w:rsidRPr="007C351F">
              <w:rPr>
                <w:rFonts w:ascii="Times New Roman" w:hAnsi="Times New Roman" w:cs="Times New Roman"/>
                <w:b/>
                <w:sz w:val="18"/>
                <w:szCs w:val="18"/>
              </w:rPr>
              <w:t>2.</w:t>
            </w:r>
          </w:p>
        </w:tc>
        <w:tc>
          <w:tcPr>
            <w:tcW w:w="1737" w:type="dxa"/>
            <w:vAlign w:val="center"/>
          </w:tcPr>
          <w:p w14:paraId="66516434" w14:textId="77777777" w:rsidR="007C351F" w:rsidRPr="007C351F" w:rsidRDefault="007C351F" w:rsidP="007C351F">
            <w:pPr>
              <w:rPr>
                <w:rFonts w:ascii="Times New Roman" w:eastAsia="Times New Roman" w:hAnsi="Times New Roman" w:cs="Times New Roman"/>
                <w:color w:val="000000"/>
                <w:sz w:val="18"/>
                <w:szCs w:val="18"/>
                <w:lang w:eastAsia="pl-PL"/>
              </w:rPr>
            </w:pPr>
            <w:r w:rsidRPr="007C351F">
              <w:rPr>
                <w:rFonts w:ascii="Times New Roman" w:eastAsia="Times New Roman" w:hAnsi="Times New Roman" w:cs="Times New Roman"/>
                <w:color w:val="000000"/>
                <w:sz w:val="18"/>
                <w:szCs w:val="18"/>
                <w:lang w:eastAsia="pl-PL"/>
              </w:rPr>
              <w:t>Działalność związana z zakwaterowaniem i usługami gastronomicznymi</w:t>
            </w:r>
          </w:p>
        </w:tc>
        <w:tc>
          <w:tcPr>
            <w:tcW w:w="1163" w:type="dxa"/>
            <w:vAlign w:val="center"/>
          </w:tcPr>
          <w:p w14:paraId="5B7DFEDF" w14:textId="77777777" w:rsidR="007C351F" w:rsidRPr="007C351F" w:rsidRDefault="007C351F" w:rsidP="007C351F">
            <w:pPr>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p>
        </w:tc>
        <w:tc>
          <w:tcPr>
            <w:tcW w:w="1134" w:type="dxa"/>
            <w:vAlign w:val="center"/>
          </w:tcPr>
          <w:p w14:paraId="0BA7A501" w14:textId="77777777" w:rsidR="007C351F" w:rsidRPr="007C351F" w:rsidRDefault="007C351F" w:rsidP="007C351F">
            <w:pPr>
              <w:jc w:val="right"/>
              <w:rPr>
                <w:rFonts w:ascii="Times New Roman" w:eastAsia="Times New Roman" w:hAnsi="Times New Roman" w:cs="Times New Roman"/>
                <w:sz w:val="18"/>
                <w:szCs w:val="18"/>
                <w:lang w:eastAsia="pl-PL"/>
              </w:rPr>
            </w:pPr>
            <w:r w:rsidRPr="007C351F">
              <w:rPr>
                <w:rFonts w:ascii="Times New Roman" w:eastAsia="Times New Roman" w:hAnsi="Times New Roman" w:cs="Times New Roman"/>
                <w:sz w:val="18"/>
                <w:szCs w:val="18"/>
                <w:lang w:eastAsia="pl-PL"/>
              </w:rPr>
              <w:t>0</w:t>
            </w:r>
          </w:p>
        </w:tc>
        <w:tc>
          <w:tcPr>
            <w:tcW w:w="993" w:type="dxa"/>
            <w:vAlign w:val="center"/>
          </w:tcPr>
          <w:p w14:paraId="3971D1BC" w14:textId="5C5096D8" w:rsidR="007C351F" w:rsidRPr="007C351F" w:rsidRDefault="00B43325" w:rsidP="007C351F">
            <w:pPr>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5 208,74</w:t>
            </w:r>
          </w:p>
        </w:tc>
        <w:tc>
          <w:tcPr>
            <w:tcW w:w="1134" w:type="dxa"/>
            <w:vAlign w:val="center"/>
          </w:tcPr>
          <w:p w14:paraId="5E87DFE1" w14:textId="67BEF508" w:rsidR="007C351F" w:rsidRPr="007C351F" w:rsidRDefault="007E442C" w:rsidP="007C351F">
            <w:pPr>
              <w:jc w:val="right"/>
              <w:rPr>
                <w:rFonts w:ascii="Times New Roman" w:hAnsi="Times New Roman" w:cs="Times New Roman"/>
                <w:b/>
                <w:sz w:val="18"/>
                <w:szCs w:val="18"/>
              </w:rPr>
            </w:pPr>
            <w:r>
              <w:rPr>
                <w:rFonts w:ascii="Times New Roman" w:hAnsi="Times New Roman" w:cs="Times New Roman"/>
                <w:b/>
                <w:sz w:val="18"/>
                <w:szCs w:val="18"/>
              </w:rPr>
              <w:t>5</w:t>
            </w:r>
          </w:p>
        </w:tc>
        <w:tc>
          <w:tcPr>
            <w:tcW w:w="1134" w:type="dxa"/>
            <w:vAlign w:val="center"/>
          </w:tcPr>
          <w:p w14:paraId="1DA498A0" w14:textId="7D83C079" w:rsidR="007C351F" w:rsidRPr="007C351F" w:rsidRDefault="007E442C" w:rsidP="007C351F">
            <w:pPr>
              <w:jc w:val="right"/>
              <w:rPr>
                <w:rFonts w:ascii="Times New Roman" w:hAnsi="Times New Roman" w:cs="Times New Roman"/>
                <w:sz w:val="18"/>
                <w:szCs w:val="18"/>
              </w:rPr>
            </w:pPr>
            <w:r>
              <w:rPr>
                <w:rFonts w:ascii="Times New Roman" w:hAnsi="Times New Roman" w:cs="Times New Roman"/>
                <w:sz w:val="18"/>
                <w:szCs w:val="18"/>
              </w:rPr>
              <w:t>5</w:t>
            </w:r>
          </w:p>
        </w:tc>
        <w:tc>
          <w:tcPr>
            <w:tcW w:w="1134" w:type="dxa"/>
            <w:vAlign w:val="center"/>
          </w:tcPr>
          <w:p w14:paraId="4E7FFC74" w14:textId="01ED39B5" w:rsidR="007C351F" w:rsidRPr="007C351F" w:rsidRDefault="00E2312E" w:rsidP="007C351F">
            <w:pPr>
              <w:jc w:val="right"/>
              <w:rPr>
                <w:rFonts w:ascii="Times New Roman" w:hAnsi="Times New Roman" w:cs="Times New Roman"/>
                <w:sz w:val="18"/>
                <w:szCs w:val="18"/>
              </w:rPr>
            </w:pPr>
            <w:r>
              <w:rPr>
                <w:rFonts w:ascii="Times New Roman" w:hAnsi="Times New Roman" w:cs="Times New Roman"/>
                <w:sz w:val="18"/>
                <w:szCs w:val="18"/>
              </w:rPr>
              <w:t>5</w:t>
            </w:r>
          </w:p>
        </w:tc>
      </w:tr>
      <w:tr w:rsidR="007C351F" w:rsidRPr="007C351F" w14:paraId="082ADE20" w14:textId="77777777" w:rsidTr="007E442C">
        <w:tc>
          <w:tcPr>
            <w:tcW w:w="639" w:type="dxa"/>
            <w:vAlign w:val="center"/>
          </w:tcPr>
          <w:p w14:paraId="168CAD71" w14:textId="77777777" w:rsidR="007C351F" w:rsidRPr="007C351F" w:rsidRDefault="007C351F" w:rsidP="007C351F">
            <w:pPr>
              <w:jc w:val="center"/>
              <w:rPr>
                <w:rFonts w:ascii="Times New Roman" w:eastAsia="Times New Roman" w:hAnsi="Times New Roman" w:cs="Times New Roman"/>
                <w:b/>
                <w:color w:val="000000"/>
                <w:sz w:val="18"/>
                <w:szCs w:val="18"/>
                <w:lang w:eastAsia="pl-PL"/>
              </w:rPr>
            </w:pPr>
            <w:r w:rsidRPr="007C351F">
              <w:rPr>
                <w:rFonts w:ascii="Times New Roman" w:eastAsia="Times New Roman" w:hAnsi="Times New Roman" w:cs="Times New Roman"/>
                <w:b/>
                <w:color w:val="000000"/>
                <w:sz w:val="18"/>
                <w:szCs w:val="18"/>
                <w:lang w:eastAsia="pl-PL"/>
              </w:rPr>
              <w:t>3.</w:t>
            </w:r>
          </w:p>
        </w:tc>
        <w:tc>
          <w:tcPr>
            <w:tcW w:w="1737" w:type="dxa"/>
            <w:vAlign w:val="center"/>
          </w:tcPr>
          <w:p w14:paraId="2DE69574" w14:textId="77777777" w:rsidR="007C351F" w:rsidRPr="007C351F" w:rsidRDefault="007C351F" w:rsidP="007C351F">
            <w:pPr>
              <w:rPr>
                <w:rFonts w:ascii="Times New Roman" w:eastAsia="Times New Roman" w:hAnsi="Times New Roman" w:cs="Times New Roman"/>
                <w:color w:val="000000"/>
                <w:sz w:val="18"/>
                <w:szCs w:val="18"/>
                <w:lang w:eastAsia="pl-PL"/>
              </w:rPr>
            </w:pPr>
            <w:r w:rsidRPr="007C351F">
              <w:rPr>
                <w:rFonts w:ascii="Times New Roman" w:eastAsia="Times New Roman" w:hAnsi="Times New Roman" w:cs="Times New Roman"/>
                <w:color w:val="000000"/>
                <w:sz w:val="18"/>
                <w:szCs w:val="18"/>
                <w:lang w:eastAsia="pl-PL"/>
              </w:rPr>
              <w:t>Górnictwo i wydobywanie</w:t>
            </w:r>
          </w:p>
        </w:tc>
        <w:tc>
          <w:tcPr>
            <w:tcW w:w="1163" w:type="dxa"/>
            <w:vAlign w:val="center"/>
          </w:tcPr>
          <w:p w14:paraId="02004EF9" w14:textId="77777777" w:rsidR="007C351F" w:rsidRPr="007C351F" w:rsidRDefault="007C351F" w:rsidP="007C351F">
            <w:pPr>
              <w:jc w:val="right"/>
              <w:rPr>
                <w:rFonts w:ascii="Times New Roman" w:eastAsia="Times New Roman" w:hAnsi="Times New Roman" w:cs="Times New Roman"/>
                <w:sz w:val="18"/>
                <w:szCs w:val="18"/>
                <w:lang w:eastAsia="pl-PL"/>
              </w:rPr>
            </w:pPr>
            <w:r w:rsidRPr="007C351F">
              <w:rPr>
                <w:rFonts w:ascii="Times New Roman" w:eastAsia="Times New Roman" w:hAnsi="Times New Roman" w:cs="Times New Roman"/>
                <w:sz w:val="18"/>
                <w:szCs w:val="18"/>
                <w:lang w:eastAsia="pl-PL"/>
              </w:rPr>
              <w:t>0</w:t>
            </w:r>
          </w:p>
        </w:tc>
        <w:tc>
          <w:tcPr>
            <w:tcW w:w="1134" w:type="dxa"/>
            <w:vAlign w:val="center"/>
          </w:tcPr>
          <w:p w14:paraId="60E2530A" w14:textId="77777777" w:rsidR="007C351F" w:rsidRPr="007C351F" w:rsidRDefault="007C351F" w:rsidP="007C351F">
            <w:pPr>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p>
        </w:tc>
        <w:tc>
          <w:tcPr>
            <w:tcW w:w="993" w:type="dxa"/>
            <w:vAlign w:val="center"/>
          </w:tcPr>
          <w:p w14:paraId="65988365" w14:textId="2C62901F" w:rsidR="007C351F" w:rsidRPr="007C351F" w:rsidRDefault="00B43325" w:rsidP="00B43325">
            <w:pPr>
              <w:ind w:left="-79"/>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277 142,56</w:t>
            </w:r>
          </w:p>
        </w:tc>
        <w:tc>
          <w:tcPr>
            <w:tcW w:w="1134" w:type="dxa"/>
            <w:vAlign w:val="center"/>
          </w:tcPr>
          <w:p w14:paraId="26F5A597" w14:textId="77777777" w:rsidR="007C351F" w:rsidRPr="007C351F" w:rsidRDefault="007C351F" w:rsidP="007C351F">
            <w:pPr>
              <w:jc w:val="right"/>
              <w:rPr>
                <w:rFonts w:ascii="Times New Roman" w:hAnsi="Times New Roman" w:cs="Times New Roman"/>
                <w:b/>
                <w:sz w:val="18"/>
                <w:szCs w:val="18"/>
              </w:rPr>
            </w:pPr>
            <w:r>
              <w:rPr>
                <w:rFonts w:ascii="Times New Roman" w:hAnsi="Times New Roman" w:cs="Times New Roman"/>
                <w:b/>
                <w:sz w:val="18"/>
                <w:szCs w:val="18"/>
              </w:rPr>
              <w:t>277</w:t>
            </w:r>
          </w:p>
        </w:tc>
        <w:tc>
          <w:tcPr>
            <w:tcW w:w="1134" w:type="dxa"/>
            <w:vAlign w:val="center"/>
          </w:tcPr>
          <w:p w14:paraId="38DE5AE9" w14:textId="26410967" w:rsidR="007C351F" w:rsidRPr="007C351F" w:rsidRDefault="007E442C" w:rsidP="007C351F">
            <w:pPr>
              <w:jc w:val="right"/>
              <w:rPr>
                <w:rFonts w:ascii="Times New Roman" w:hAnsi="Times New Roman" w:cs="Times New Roman"/>
                <w:sz w:val="18"/>
                <w:szCs w:val="18"/>
              </w:rPr>
            </w:pPr>
            <w:r>
              <w:rPr>
                <w:rFonts w:ascii="Times New Roman" w:hAnsi="Times New Roman" w:cs="Times New Roman"/>
                <w:sz w:val="18"/>
                <w:szCs w:val="18"/>
              </w:rPr>
              <w:t>277</w:t>
            </w:r>
          </w:p>
        </w:tc>
        <w:tc>
          <w:tcPr>
            <w:tcW w:w="1134" w:type="dxa"/>
            <w:vAlign w:val="center"/>
          </w:tcPr>
          <w:p w14:paraId="45527A4E" w14:textId="1055842E" w:rsidR="007C351F" w:rsidRPr="007C351F" w:rsidRDefault="00E2312E" w:rsidP="007C351F">
            <w:pPr>
              <w:jc w:val="right"/>
              <w:rPr>
                <w:rFonts w:ascii="Times New Roman" w:hAnsi="Times New Roman" w:cs="Times New Roman"/>
                <w:sz w:val="18"/>
                <w:szCs w:val="18"/>
              </w:rPr>
            </w:pPr>
            <w:r>
              <w:rPr>
                <w:rFonts w:ascii="Times New Roman" w:hAnsi="Times New Roman" w:cs="Times New Roman"/>
                <w:sz w:val="18"/>
                <w:szCs w:val="18"/>
              </w:rPr>
              <w:t>277</w:t>
            </w:r>
          </w:p>
        </w:tc>
      </w:tr>
      <w:tr w:rsidR="007C351F" w:rsidRPr="007C351F" w14:paraId="59DD132A" w14:textId="77777777" w:rsidTr="007E442C">
        <w:tc>
          <w:tcPr>
            <w:tcW w:w="639" w:type="dxa"/>
            <w:vAlign w:val="center"/>
          </w:tcPr>
          <w:p w14:paraId="6F9838A8" w14:textId="77777777" w:rsidR="007C351F" w:rsidRPr="007C351F" w:rsidRDefault="007C351F" w:rsidP="007C351F">
            <w:pPr>
              <w:jc w:val="center"/>
              <w:rPr>
                <w:rFonts w:ascii="Times New Roman" w:eastAsia="Times New Roman" w:hAnsi="Times New Roman" w:cs="Times New Roman"/>
                <w:b/>
                <w:color w:val="000000"/>
                <w:sz w:val="18"/>
                <w:szCs w:val="18"/>
                <w:lang w:eastAsia="pl-PL"/>
              </w:rPr>
            </w:pPr>
            <w:r w:rsidRPr="007C351F">
              <w:rPr>
                <w:rFonts w:ascii="Times New Roman" w:eastAsia="Times New Roman" w:hAnsi="Times New Roman" w:cs="Times New Roman"/>
                <w:b/>
                <w:color w:val="000000"/>
                <w:sz w:val="18"/>
                <w:szCs w:val="18"/>
                <w:lang w:eastAsia="pl-PL"/>
              </w:rPr>
              <w:t>4.</w:t>
            </w:r>
          </w:p>
        </w:tc>
        <w:tc>
          <w:tcPr>
            <w:tcW w:w="1737" w:type="dxa"/>
            <w:vAlign w:val="center"/>
          </w:tcPr>
          <w:p w14:paraId="3DC2665D" w14:textId="77777777" w:rsidR="007C351F" w:rsidRPr="007C351F" w:rsidRDefault="007C351F" w:rsidP="007C351F">
            <w:pPr>
              <w:rPr>
                <w:rFonts w:ascii="Times New Roman" w:eastAsia="Times New Roman" w:hAnsi="Times New Roman" w:cs="Times New Roman"/>
                <w:color w:val="000000"/>
                <w:sz w:val="18"/>
                <w:szCs w:val="18"/>
                <w:lang w:eastAsia="pl-PL"/>
              </w:rPr>
            </w:pPr>
            <w:r w:rsidRPr="007C351F">
              <w:rPr>
                <w:rFonts w:ascii="Times New Roman" w:eastAsia="Times New Roman" w:hAnsi="Times New Roman" w:cs="Times New Roman"/>
                <w:bCs/>
                <w:sz w:val="18"/>
                <w:szCs w:val="18"/>
                <w:lang w:eastAsia="pl-PL"/>
              </w:rPr>
              <w:t>Handel hurtowy i detaliczny, naprawa pojazdów samochodowych</w:t>
            </w:r>
          </w:p>
        </w:tc>
        <w:tc>
          <w:tcPr>
            <w:tcW w:w="1163" w:type="dxa"/>
            <w:vAlign w:val="center"/>
          </w:tcPr>
          <w:p w14:paraId="65DDD5D3" w14:textId="21F784B8" w:rsidR="007C351F" w:rsidRPr="007C351F" w:rsidRDefault="00B43325" w:rsidP="007E442C">
            <w:pPr>
              <w:ind w:left="-95" w:right="33"/>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109 638,95</w:t>
            </w:r>
          </w:p>
        </w:tc>
        <w:tc>
          <w:tcPr>
            <w:tcW w:w="1134" w:type="dxa"/>
            <w:vAlign w:val="center"/>
          </w:tcPr>
          <w:p w14:paraId="0A60E9E7" w14:textId="77777777" w:rsidR="007C351F" w:rsidRPr="007C351F" w:rsidRDefault="007C351F" w:rsidP="007C351F">
            <w:pPr>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p>
        </w:tc>
        <w:tc>
          <w:tcPr>
            <w:tcW w:w="993" w:type="dxa"/>
            <w:vAlign w:val="center"/>
          </w:tcPr>
          <w:p w14:paraId="42FA0C20" w14:textId="77777777" w:rsidR="007C351F" w:rsidRPr="007C351F" w:rsidRDefault="007C351F" w:rsidP="007C351F">
            <w:pPr>
              <w:jc w:val="right"/>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0</w:t>
            </w:r>
          </w:p>
        </w:tc>
        <w:tc>
          <w:tcPr>
            <w:tcW w:w="1134" w:type="dxa"/>
            <w:vAlign w:val="center"/>
          </w:tcPr>
          <w:p w14:paraId="0DAFECDD" w14:textId="6CED3005" w:rsidR="007C351F" w:rsidRPr="007C351F" w:rsidRDefault="007E442C" w:rsidP="007C351F">
            <w:pPr>
              <w:jc w:val="right"/>
              <w:rPr>
                <w:rFonts w:ascii="Times New Roman" w:hAnsi="Times New Roman" w:cs="Times New Roman"/>
                <w:b/>
                <w:sz w:val="18"/>
                <w:szCs w:val="18"/>
              </w:rPr>
            </w:pPr>
            <w:r>
              <w:rPr>
                <w:rFonts w:ascii="Times New Roman" w:hAnsi="Times New Roman" w:cs="Times New Roman"/>
                <w:b/>
                <w:sz w:val="18"/>
                <w:szCs w:val="18"/>
              </w:rPr>
              <w:t>110</w:t>
            </w:r>
          </w:p>
        </w:tc>
        <w:tc>
          <w:tcPr>
            <w:tcW w:w="1134" w:type="dxa"/>
            <w:vAlign w:val="center"/>
          </w:tcPr>
          <w:p w14:paraId="311E8778" w14:textId="660BA3A5" w:rsidR="007C351F" w:rsidRPr="007C351F" w:rsidRDefault="007E442C" w:rsidP="007C351F">
            <w:pPr>
              <w:jc w:val="right"/>
              <w:rPr>
                <w:rFonts w:ascii="Times New Roman" w:hAnsi="Times New Roman" w:cs="Times New Roman"/>
                <w:sz w:val="18"/>
                <w:szCs w:val="18"/>
              </w:rPr>
            </w:pPr>
            <w:r>
              <w:rPr>
                <w:rFonts w:ascii="Times New Roman" w:hAnsi="Times New Roman" w:cs="Times New Roman"/>
                <w:sz w:val="18"/>
                <w:szCs w:val="18"/>
              </w:rPr>
              <w:t>19</w:t>
            </w:r>
          </w:p>
        </w:tc>
        <w:tc>
          <w:tcPr>
            <w:tcW w:w="1134" w:type="dxa"/>
            <w:vAlign w:val="center"/>
          </w:tcPr>
          <w:p w14:paraId="7B3FCE5F" w14:textId="4A776D5A" w:rsidR="007C351F" w:rsidRPr="007C351F" w:rsidRDefault="00E2312E" w:rsidP="007C351F">
            <w:pPr>
              <w:jc w:val="right"/>
              <w:rPr>
                <w:rFonts w:ascii="Times New Roman" w:hAnsi="Times New Roman" w:cs="Times New Roman"/>
                <w:sz w:val="18"/>
                <w:szCs w:val="18"/>
              </w:rPr>
            </w:pPr>
            <w:r>
              <w:rPr>
                <w:rFonts w:ascii="Times New Roman" w:hAnsi="Times New Roman" w:cs="Times New Roman"/>
                <w:sz w:val="18"/>
                <w:szCs w:val="18"/>
              </w:rPr>
              <w:t>19</w:t>
            </w:r>
            <w:r w:rsidR="007C351F" w:rsidRPr="007C351F">
              <w:rPr>
                <w:rFonts w:ascii="Times New Roman" w:hAnsi="Times New Roman" w:cs="Times New Roman"/>
                <w:sz w:val="18"/>
                <w:szCs w:val="18"/>
              </w:rPr>
              <w:t xml:space="preserve">           </w:t>
            </w:r>
          </w:p>
        </w:tc>
      </w:tr>
      <w:tr w:rsidR="007C351F" w:rsidRPr="007C351F" w14:paraId="5B1A20E2" w14:textId="77777777" w:rsidTr="007E442C">
        <w:tc>
          <w:tcPr>
            <w:tcW w:w="639" w:type="dxa"/>
            <w:vAlign w:val="center"/>
          </w:tcPr>
          <w:p w14:paraId="11350774" w14:textId="77777777" w:rsidR="007C351F" w:rsidRPr="007C351F" w:rsidRDefault="007C351F" w:rsidP="007C351F">
            <w:pPr>
              <w:jc w:val="center"/>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color w:val="000000"/>
                <w:sz w:val="18"/>
                <w:szCs w:val="18"/>
                <w:lang w:eastAsia="pl-PL"/>
              </w:rPr>
              <w:t>5.</w:t>
            </w:r>
          </w:p>
        </w:tc>
        <w:tc>
          <w:tcPr>
            <w:tcW w:w="1737" w:type="dxa"/>
            <w:vAlign w:val="center"/>
          </w:tcPr>
          <w:p w14:paraId="3A6BB4C6" w14:textId="77777777" w:rsidR="007C351F" w:rsidRPr="007C351F" w:rsidRDefault="007C351F" w:rsidP="007C351F">
            <w:pPr>
              <w:rPr>
                <w:rFonts w:ascii="Times New Roman" w:eastAsia="Times New Roman" w:hAnsi="Times New Roman" w:cs="Times New Roman"/>
                <w:bCs/>
                <w:sz w:val="18"/>
                <w:szCs w:val="18"/>
                <w:lang w:eastAsia="pl-PL"/>
              </w:rPr>
            </w:pPr>
            <w:r w:rsidRPr="007C351F">
              <w:rPr>
                <w:rFonts w:ascii="Times New Roman" w:eastAsia="Times New Roman" w:hAnsi="Times New Roman" w:cs="Times New Roman"/>
                <w:bCs/>
                <w:sz w:val="18"/>
                <w:szCs w:val="18"/>
                <w:lang w:eastAsia="pl-PL"/>
              </w:rPr>
              <w:t>Przetwórstwo przemysłowe</w:t>
            </w:r>
          </w:p>
        </w:tc>
        <w:tc>
          <w:tcPr>
            <w:tcW w:w="1163" w:type="dxa"/>
            <w:vAlign w:val="center"/>
          </w:tcPr>
          <w:p w14:paraId="5102DC48" w14:textId="588DE60C" w:rsidR="007C351F" w:rsidRPr="007C351F" w:rsidRDefault="00B43325" w:rsidP="007E442C">
            <w:pPr>
              <w:ind w:right="-15"/>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10 231,65</w:t>
            </w:r>
          </w:p>
        </w:tc>
        <w:tc>
          <w:tcPr>
            <w:tcW w:w="1134" w:type="dxa"/>
            <w:vAlign w:val="center"/>
          </w:tcPr>
          <w:p w14:paraId="75C99384" w14:textId="77777777" w:rsidR="007C351F" w:rsidRPr="007C351F" w:rsidRDefault="007C351F" w:rsidP="007C351F">
            <w:pPr>
              <w:jc w:val="right"/>
              <w:rPr>
                <w:rFonts w:ascii="Times New Roman" w:eastAsia="Times New Roman" w:hAnsi="Times New Roman" w:cs="Times New Roman"/>
                <w:sz w:val="18"/>
                <w:szCs w:val="18"/>
                <w:lang w:eastAsia="pl-PL"/>
              </w:rPr>
            </w:pPr>
          </w:p>
        </w:tc>
        <w:tc>
          <w:tcPr>
            <w:tcW w:w="993" w:type="dxa"/>
            <w:vAlign w:val="center"/>
          </w:tcPr>
          <w:p w14:paraId="512D153B" w14:textId="77777777" w:rsidR="007C351F" w:rsidRPr="007C351F" w:rsidRDefault="007C351F" w:rsidP="007C351F">
            <w:pPr>
              <w:jc w:val="right"/>
              <w:rPr>
                <w:rFonts w:ascii="Times New Roman" w:eastAsia="Times New Roman" w:hAnsi="Times New Roman" w:cs="Times New Roman"/>
                <w:sz w:val="18"/>
                <w:szCs w:val="18"/>
                <w:lang w:eastAsia="pl-PL"/>
              </w:rPr>
            </w:pPr>
          </w:p>
        </w:tc>
        <w:tc>
          <w:tcPr>
            <w:tcW w:w="1134" w:type="dxa"/>
            <w:vAlign w:val="center"/>
          </w:tcPr>
          <w:p w14:paraId="49945006" w14:textId="1668DDBB" w:rsidR="007C351F" w:rsidRPr="007C351F" w:rsidRDefault="007E442C" w:rsidP="007C351F">
            <w:pPr>
              <w:jc w:val="right"/>
              <w:rPr>
                <w:rFonts w:ascii="Times New Roman" w:hAnsi="Times New Roman" w:cs="Times New Roman"/>
                <w:b/>
                <w:sz w:val="18"/>
                <w:szCs w:val="18"/>
              </w:rPr>
            </w:pPr>
            <w:r>
              <w:rPr>
                <w:rFonts w:ascii="Times New Roman" w:hAnsi="Times New Roman" w:cs="Times New Roman"/>
                <w:b/>
                <w:sz w:val="18"/>
                <w:szCs w:val="18"/>
              </w:rPr>
              <w:t>10</w:t>
            </w:r>
          </w:p>
        </w:tc>
        <w:tc>
          <w:tcPr>
            <w:tcW w:w="1134" w:type="dxa"/>
            <w:vAlign w:val="center"/>
          </w:tcPr>
          <w:p w14:paraId="59CEDCFB" w14:textId="61FFEB17" w:rsidR="007C351F" w:rsidRPr="007C351F" w:rsidRDefault="007E442C" w:rsidP="007C351F">
            <w:pPr>
              <w:jc w:val="right"/>
              <w:rPr>
                <w:rFonts w:ascii="Times New Roman" w:hAnsi="Times New Roman" w:cs="Times New Roman"/>
                <w:sz w:val="18"/>
                <w:szCs w:val="18"/>
              </w:rPr>
            </w:pPr>
            <w:r>
              <w:rPr>
                <w:rFonts w:ascii="Times New Roman" w:hAnsi="Times New Roman" w:cs="Times New Roman"/>
                <w:sz w:val="18"/>
                <w:szCs w:val="18"/>
              </w:rPr>
              <w:t>2</w:t>
            </w:r>
          </w:p>
        </w:tc>
        <w:tc>
          <w:tcPr>
            <w:tcW w:w="1134" w:type="dxa"/>
            <w:vAlign w:val="center"/>
          </w:tcPr>
          <w:p w14:paraId="70006B1D" w14:textId="52C28BCB" w:rsidR="007C351F" w:rsidRPr="007C351F" w:rsidRDefault="00E2312E" w:rsidP="007C351F">
            <w:pPr>
              <w:jc w:val="right"/>
              <w:rPr>
                <w:rFonts w:ascii="Times New Roman" w:hAnsi="Times New Roman" w:cs="Times New Roman"/>
                <w:sz w:val="18"/>
                <w:szCs w:val="18"/>
              </w:rPr>
            </w:pPr>
            <w:r>
              <w:rPr>
                <w:rFonts w:ascii="Times New Roman" w:hAnsi="Times New Roman" w:cs="Times New Roman"/>
                <w:sz w:val="18"/>
                <w:szCs w:val="18"/>
              </w:rPr>
              <w:t>2</w:t>
            </w:r>
          </w:p>
        </w:tc>
      </w:tr>
      <w:tr w:rsidR="00B43325" w:rsidRPr="007C351F" w14:paraId="61316EC5" w14:textId="77777777" w:rsidTr="007E442C">
        <w:tc>
          <w:tcPr>
            <w:tcW w:w="639" w:type="dxa"/>
            <w:vAlign w:val="center"/>
          </w:tcPr>
          <w:p w14:paraId="44B274B8" w14:textId="77777777" w:rsidR="00B43325" w:rsidRDefault="00B43325" w:rsidP="007C351F">
            <w:pPr>
              <w:jc w:val="center"/>
              <w:rPr>
                <w:rFonts w:ascii="Times New Roman" w:eastAsia="Times New Roman" w:hAnsi="Times New Roman" w:cs="Times New Roman"/>
                <w:b/>
                <w:color w:val="000000"/>
                <w:sz w:val="18"/>
                <w:szCs w:val="18"/>
                <w:lang w:eastAsia="pl-PL"/>
              </w:rPr>
            </w:pPr>
          </w:p>
          <w:p w14:paraId="3F3DD7CA" w14:textId="0D347E54" w:rsidR="00B43325" w:rsidRDefault="00B43325" w:rsidP="007C351F">
            <w:pPr>
              <w:jc w:val="center"/>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color w:val="000000"/>
                <w:sz w:val="18"/>
                <w:szCs w:val="18"/>
                <w:lang w:eastAsia="pl-PL"/>
              </w:rPr>
              <w:t>6.</w:t>
            </w:r>
          </w:p>
        </w:tc>
        <w:tc>
          <w:tcPr>
            <w:tcW w:w="1737" w:type="dxa"/>
            <w:vAlign w:val="center"/>
          </w:tcPr>
          <w:p w14:paraId="428C30C8" w14:textId="36AA7760" w:rsidR="00B43325" w:rsidRPr="007C351F" w:rsidRDefault="00B43325" w:rsidP="007C351F">
            <w:pPr>
              <w:rPr>
                <w:rFonts w:ascii="Times New Roman" w:eastAsia="Times New Roman" w:hAnsi="Times New Roman" w:cs="Times New Roman"/>
                <w:bCs/>
                <w:sz w:val="18"/>
                <w:szCs w:val="18"/>
                <w:lang w:eastAsia="pl-PL"/>
              </w:rPr>
            </w:pPr>
            <w:r w:rsidRPr="00B43325">
              <w:rPr>
                <w:rFonts w:ascii="Times New Roman" w:eastAsia="Times New Roman" w:hAnsi="Times New Roman" w:cs="Times New Roman"/>
                <w:color w:val="000000"/>
                <w:sz w:val="18"/>
                <w:szCs w:val="18"/>
                <w:lang w:eastAsia="pl-PL"/>
              </w:rPr>
              <w:t>Transport i gospodarka magazynowa</w:t>
            </w:r>
          </w:p>
        </w:tc>
        <w:tc>
          <w:tcPr>
            <w:tcW w:w="1163" w:type="dxa"/>
            <w:vAlign w:val="center"/>
          </w:tcPr>
          <w:p w14:paraId="17383EAD" w14:textId="48FD7871" w:rsidR="00B43325" w:rsidRPr="00B43325" w:rsidRDefault="00B43325" w:rsidP="007E442C">
            <w:pPr>
              <w:ind w:right="-15"/>
              <w:jc w:val="right"/>
              <w:rPr>
                <w:rFonts w:ascii="Times New Roman" w:eastAsia="Times New Roman" w:hAnsi="Times New Roman" w:cs="Times New Roman"/>
                <w:color w:val="000000"/>
                <w:sz w:val="18"/>
                <w:szCs w:val="18"/>
                <w:lang w:eastAsia="pl-PL"/>
              </w:rPr>
            </w:pPr>
            <w:r w:rsidRPr="00B43325">
              <w:rPr>
                <w:rFonts w:ascii="Times New Roman" w:eastAsia="Times New Roman" w:hAnsi="Times New Roman" w:cs="Times New Roman"/>
                <w:color w:val="000000"/>
                <w:sz w:val="18"/>
                <w:szCs w:val="18"/>
                <w:lang w:eastAsia="pl-PL"/>
              </w:rPr>
              <w:t>81 294,95</w:t>
            </w:r>
          </w:p>
        </w:tc>
        <w:tc>
          <w:tcPr>
            <w:tcW w:w="1134" w:type="dxa"/>
            <w:vAlign w:val="center"/>
          </w:tcPr>
          <w:p w14:paraId="63C93A67" w14:textId="77777777" w:rsidR="00B43325" w:rsidRPr="007C351F" w:rsidRDefault="00B43325" w:rsidP="007C351F">
            <w:pPr>
              <w:jc w:val="right"/>
              <w:rPr>
                <w:rFonts w:ascii="Times New Roman" w:eastAsia="Times New Roman" w:hAnsi="Times New Roman" w:cs="Times New Roman"/>
                <w:sz w:val="18"/>
                <w:szCs w:val="18"/>
                <w:lang w:eastAsia="pl-PL"/>
              </w:rPr>
            </w:pPr>
          </w:p>
        </w:tc>
        <w:tc>
          <w:tcPr>
            <w:tcW w:w="993" w:type="dxa"/>
            <w:vAlign w:val="center"/>
          </w:tcPr>
          <w:p w14:paraId="39D26D2A" w14:textId="77777777" w:rsidR="00B43325" w:rsidRPr="007C351F" w:rsidRDefault="00B43325" w:rsidP="007C351F">
            <w:pPr>
              <w:jc w:val="right"/>
              <w:rPr>
                <w:rFonts w:ascii="Times New Roman" w:eastAsia="Times New Roman" w:hAnsi="Times New Roman" w:cs="Times New Roman"/>
                <w:sz w:val="18"/>
                <w:szCs w:val="18"/>
                <w:lang w:eastAsia="pl-PL"/>
              </w:rPr>
            </w:pPr>
          </w:p>
        </w:tc>
        <w:tc>
          <w:tcPr>
            <w:tcW w:w="1134" w:type="dxa"/>
            <w:vAlign w:val="center"/>
          </w:tcPr>
          <w:p w14:paraId="58B2C5BD" w14:textId="07D467B0" w:rsidR="00B43325" w:rsidRDefault="007E442C" w:rsidP="007C351F">
            <w:pPr>
              <w:jc w:val="right"/>
              <w:rPr>
                <w:rFonts w:ascii="Times New Roman" w:hAnsi="Times New Roman" w:cs="Times New Roman"/>
                <w:b/>
                <w:sz w:val="18"/>
                <w:szCs w:val="18"/>
              </w:rPr>
            </w:pPr>
            <w:r>
              <w:rPr>
                <w:rFonts w:ascii="Times New Roman" w:hAnsi="Times New Roman" w:cs="Times New Roman"/>
                <w:b/>
                <w:sz w:val="18"/>
                <w:szCs w:val="18"/>
              </w:rPr>
              <w:t>81</w:t>
            </w:r>
          </w:p>
        </w:tc>
        <w:tc>
          <w:tcPr>
            <w:tcW w:w="1134" w:type="dxa"/>
            <w:vAlign w:val="center"/>
          </w:tcPr>
          <w:p w14:paraId="5D58C990" w14:textId="31EAB9CF" w:rsidR="00B43325" w:rsidRDefault="007E442C" w:rsidP="007C351F">
            <w:pPr>
              <w:jc w:val="right"/>
              <w:rPr>
                <w:rFonts w:ascii="Times New Roman" w:hAnsi="Times New Roman" w:cs="Times New Roman"/>
                <w:sz w:val="18"/>
                <w:szCs w:val="18"/>
              </w:rPr>
            </w:pPr>
            <w:r>
              <w:rPr>
                <w:rFonts w:ascii="Times New Roman" w:hAnsi="Times New Roman" w:cs="Times New Roman"/>
                <w:sz w:val="18"/>
                <w:szCs w:val="18"/>
              </w:rPr>
              <w:t>42</w:t>
            </w:r>
          </w:p>
        </w:tc>
        <w:tc>
          <w:tcPr>
            <w:tcW w:w="1134" w:type="dxa"/>
            <w:vAlign w:val="center"/>
          </w:tcPr>
          <w:p w14:paraId="3239745A" w14:textId="0C79D5E6" w:rsidR="00B43325" w:rsidRDefault="00E2312E" w:rsidP="007C351F">
            <w:pPr>
              <w:jc w:val="right"/>
              <w:rPr>
                <w:rFonts w:ascii="Times New Roman" w:hAnsi="Times New Roman" w:cs="Times New Roman"/>
                <w:sz w:val="18"/>
                <w:szCs w:val="18"/>
              </w:rPr>
            </w:pPr>
            <w:r>
              <w:rPr>
                <w:rFonts w:ascii="Times New Roman" w:hAnsi="Times New Roman" w:cs="Times New Roman"/>
                <w:sz w:val="18"/>
                <w:szCs w:val="18"/>
              </w:rPr>
              <w:t>42</w:t>
            </w:r>
          </w:p>
        </w:tc>
      </w:tr>
      <w:tr w:rsidR="007E442C" w:rsidRPr="007C351F" w14:paraId="7ABDF28E" w14:textId="77777777" w:rsidTr="007E442C">
        <w:tc>
          <w:tcPr>
            <w:tcW w:w="639" w:type="dxa"/>
            <w:vAlign w:val="center"/>
          </w:tcPr>
          <w:p w14:paraId="146C66EE" w14:textId="57190210" w:rsidR="007E442C" w:rsidRDefault="007E442C" w:rsidP="007E442C">
            <w:pPr>
              <w:jc w:val="center"/>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color w:val="000000"/>
                <w:sz w:val="18"/>
                <w:szCs w:val="18"/>
                <w:lang w:eastAsia="pl-PL"/>
              </w:rPr>
              <w:t>7.</w:t>
            </w:r>
          </w:p>
        </w:tc>
        <w:tc>
          <w:tcPr>
            <w:tcW w:w="1737" w:type="dxa"/>
            <w:vAlign w:val="center"/>
          </w:tcPr>
          <w:p w14:paraId="1DB5705C" w14:textId="77777777" w:rsidR="007E442C" w:rsidRPr="007C351F" w:rsidRDefault="007E442C" w:rsidP="007E442C">
            <w:pPr>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Osoby prywatne</w:t>
            </w:r>
          </w:p>
        </w:tc>
        <w:tc>
          <w:tcPr>
            <w:tcW w:w="1163" w:type="dxa"/>
          </w:tcPr>
          <w:p w14:paraId="54A4403A" w14:textId="22CCBB50" w:rsidR="007E442C" w:rsidRDefault="007E442C" w:rsidP="007E442C">
            <w:pPr>
              <w:ind w:right="-15"/>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332 474,25</w:t>
            </w:r>
          </w:p>
        </w:tc>
        <w:tc>
          <w:tcPr>
            <w:tcW w:w="1134" w:type="dxa"/>
          </w:tcPr>
          <w:p w14:paraId="3C40E3DC" w14:textId="1E8DDA33" w:rsidR="007E442C" w:rsidRPr="007C351F" w:rsidRDefault="007E442C" w:rsidP="007E442C">
            <w:pPr>
              <w:ind w:right="-15"/>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12 947,00</w:t>
            </w:r>
          </w:p>
        </w:tc>
        <w:tc>
          <w:tcPr>
            <w:tcW w:w="993" w:type="dxa"/>
          </w:tcPr>
          <w:p w14:paraId="20725341" w14:textId="554E88F7" w:rsidR="007E442C" w:rsidRPr="007C351F" w:rsidRDefault="007E442C" w:rsidP="007E442C">
            <w:pPr>
              <w:ind w:right="-108"/>
              <w:jc w:val="right"/>
              <w:rPr>
                <w:rFonts w:ascii="Times New Roman" w:eastAsia="Times New Roman" w:hAnsi="Times New Roman" w:cs="Times New Roman"/>
                <w:sz w:val="18"/>
                <w:szCs w:val="18"/>
                <w:lang w:eastAsia="pl-PL"/>
              </w:rPr>
            </w:pPr>
            <w:r w:rsidRPr="00B43325">
              <w:rPr>
                <w:rFonts w:ascii="Times New Roman" w:eastAsia="Times New Roman" w:hAnsi="Times New Roman" w:cs="Times New Roman"/>
                <w:color w:val="000000"/>
                <w:sz w:val="18"/>
                <w:szCs w:val="18"/>
                <w:lang w:eastAsia="pl-PL"/>
              </w:rPr>
              <w:t>224 504,46</w:t>
            </w:r>
          </w:p>
        </w:tc>
        <w:tc>
          <w:tcPr>
            <w:tcW w:w="1134" w:type="dxa"/>
            <w:vAlign w:val="center"/>
          </w:tcPr>
          <w:p w14:paraId="5CF0A068" w14:textId="5EF2FDC8" w:rsidR="007E442C" w:rsidRDefault="007E442C" w:rsidP="007E442C">
            <w:pPr>
              <w:jc w:val="right"/>
              <w:rPr>
                <w:rFonts w:ascii="Times New Roman" w:hAnsi="Times New Roman" w:cs="Times New Roman"/>
                <w:b/>
                <w:sz w:val="18"/>
                <w:szCs w:val="18"/>
              </w:rPr>
            </w:pPr>
            <w:r>
              <w:rPr>
                <w:rFonts w:ascii="Times New Roman" w:hAnsi="Times New Roman" w:cs="Times New Roman"/>
                <w:b/>
                <w:sz w:val="18"/>
                <w:szCs w:val="18"/>
              </w:rPr>
              <w:t>570</w:t>
            </w:r>
          </w:p>
        </w:tc>
        <w:tc>
          <w:tcPr>
            <w:tcW w:w="1134" w:type="dxa"/>
            <w:vAlign w:val="center"/>
          </w:tcPr>
          <w:p w14:paraId="16468DAD" w14:textId="7B6989CF" w:rsidR="007E442C" w:rsidRPr="007C351F" w:rsidRDefault="007E442C" w:rsidP="007E442C">
            <w:pPr>
              <w:jc w:val="right"/>
              <w:rPr>
                <w:rFonts w:ascii="Times New Roman" w:hAnsi="Times New Roman" w:cs="Times New Roman"/>
                <w:sz w:val="18"/>
                <w:szCs w:val="18"/>
              </w:rPr>
            </w:pPr>
            <w:r>
              <w:rPr>
                <w:rFonts w:ascii="Times New Roman" w:hAnsi="Times New Roman" w:cs="Times New Roman"/>
                <w:sz w:val="18"/>
                <w:szCs w:val="18"/>
              </w:rPr>
              <w:t>432</w:t>
            </w:r>
          </w:p>
        </w:tc>
        <w:tc>
          <w:tcPr>
            <w:tcW w:w="1134" w:type="dxa"/>
            <w:vAlign w:val="center"/>
          </w:tcPr>
          <w:p w14:paraId="2BB5DBCC" w14:textId="03375BAA" w:rsidR="007E442C" w:rsidRPr="007C351F" w:rsidRDefault="00AE0D18" w:rsidP="007E442C">
            <w:pPr>
              <w:jc w:val="right"/>
              <w:rPr>
                <w:rFonts w:ascii="Times New Roman" w:hAnsi="Times New Roman" w:cs="Times New Roman"/>
                <w:sz w:val="18"/>
                <w:szCs w:val="18"/>
              </w:rPr>
            </w:pPr>
            <w:r>
              <w:rPr>
                <w:rFonts w:ascii="Times New Roman" w:hAnsi="Times New Roman" w:cs="Times New Roman"/>
                <w:sz w:val="18"/>
                <w:szCs w:val="18"/>
              </w:rPr>
              <w:t>312</w:t>
            </w:r>
          </w:p>
        </w:tc>
      </w:tr>
      <w:tr w:rsidR="007C351F" w:rsidRPr="007C351F" w14:paraId="7029E14B" w14:textId="77777777" w:rsidTr="007E442C">
        <w:tc>
          <w:tcPr>
            <w:tcW w:w="639" w:type="dxa"/>
            <w:vAlign w:val="center"/>
          </w:tcPr>
          <w:p w14:paraId="640F1C6F" w14:textId="77777777" w:rsidR="007C351F" w:rsidRPr="007C351F" w:rsidRDefault="007C351F" w:rsidP="007C351F">
            <w:pPr>
              <w:jc w:val="center"/>
              <w:rPr>
                <w:rFonts w:ascii="Times New Roman" w:eastAsia="Times New Roman" w:hAnsi="Times New Roman" w:cs="Times New Roman"/>
                <w:b/>
                <w:color w:val="000000"/>
                <w:sz w:val="18"/>
                <w:szCs w:val="18"/>
                <w:lang w:eastAsia="pl-PL"/>
              </w:rPr>
            </w:pPr>
          </w:p>
        </w:tc>
        <w:tc>
          <w:tcPr>
            <w:tcW w:w="1737" w:type="dxa"/>
            <w:vAlign w:val="center"/>
          </w:tcPr>
          <w:p w14:paraId="32C2A910" w14:textId="6A1383F0" w:rsidR="007C351F" w:rsidRPr="007C351F" w:rsidRDefault="007E442C" w:rsidP="007C351F">
            <w:pP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RAZEM</w:t>
            </w:r>
          </w:p>
        </w:tc>
        <w:tc>
          <w:tcPr>
            <w:tcW w:w="1163" w:type="dxa"/>
            <w:vAlign w:val="center"/>
          </w:tcPr>
          <w:p w14:paraId="70DCA360" w14:textId="0527D21B" w:rsidR="007C351F" w:rsidRPr="007C351F" w:rsidRDefault="007E442C" w:rsidP="007C351F">
            <w:pPr>
              <w:jc w:val="right"/>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533 639,80</w:t>
            </w:r>
          </w:p>
        </w:tc>
        <w:tc>
          <w:tcPr>
            <w:tcW w:w="1134" w:type="dxa"/>
            <w:vAlign w:val="center"/>
          </w:tcPr>
          <w:p w14:paraId="5B748E89" w14:textId="76EBE2D7" w:rsidR="007C351F" w:rsidRPr="007E442C" w:rsidRDefault="007E442C" w:rsidP="007C351F">
            <w:pPr>
              <w:jc w:val="right"/>
              <w:rPr>
                <w:rFonts w:ascii="Times New Roman" w:eastAsia="Times New Roman" w:hAnsi="Times New Roman" w:cs="Times New Roman"/>
                <w:b/>
                <w:bCs/>
                <w:sz w:val="18"/>
                <w:szCs w:val="18"/>
                <w:lang w:eastAsia="pl-PL"/>
              </w:rPr>
            </w:pPr>
            <w:r w:rsidRPr="007E442C">
              <w:rPr>
                <w:rFonts w:ascii="Times New Roman" w:eastAsia="Times New Roman" w:hAnsi="Times New Roman" w:cs="Times New Roman"/>
                <w:b/>
                <w:color w:val="000000"/>
                <w:sz w:val="18"/>
                <w:szCs w:val="18"/>
                <w:lang w:eastAsia="pl-PL"/>
              </w:rPr>
              <w:t>12 947,00</w:t>
            </w:r>
          </w:p>
        </w:tc>
        <w:tc>
          <w:tcPr>
            <w:tcW w:w="993" w:type="dxa"/>
            <w:vAlign w:val="center"/>
          </w:tcPr>
          <w:p w14:paraId="218D16EE" w14:textId="5C04E76C" w:rsidR="007C351F" w:rsidRPr="007C351F" w:rsidRDefault="007E442C" w:rsidP="007E442C">
            <w:pPr>
              <w:ind w:right="-107"/>
              <w:jc w:val="right"/>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574 860,21</w:t>
            </w:r>
          </w:p>
        </w:tc>
        <w:tc>
          <w:tcPr>
            <w:tcW w:w="1134" w:type="dxa"/>
            <w:vAlign w:val="center"/>
          </w:tcPr>
          <w:p w14:paraId="3CB57749" w14:textId="0926CBEB" w:rsidR="007C351F" w:rsidRPr="007C351F" w:rsidRDefault="007E442C" w:rsidP="007C351F">
            <w:pPr>
              <w:jc w:val="right"/>
              <w:rPr>
                <w:rFonts w:ascii="Times New Roman" w:hAnsi="Times New Roman" w:cs="Times New Roman"/>
                <w:b/>
                <w:sz w:val="18"/>
                <w:szCs w:val="18"/>
              </w:rPr>
            </w:pPr>
            <w:r>
              <w:rPr>
                <w:rFonts w:ascii="Times New Roman" w:hAnsi="Times New Roman" w:cs="Times New Roman"/>
                <w:b/>
                <w:sz w:val="18"/>
                <w:szCs w:val="18"/>
              </w:rPr>
              <w:t>1 122</w:t>
            </w:r>
          </w:p>
        </w:tc>
        <w:tc>
          <w:tcPr>
            <w:tcW w:w="1134" w:type="dxa"/>
            <w:vAlign w:val="center"/>
          </w:tcPr>
          <w:p w14:paraId="18AE08A8" w14:textId="1D3900EC" w:rsidR="007C351F" w:rsidRPr="007C351F" w:rsidRDefault="007E442C" w:rsidP="007C351F">
            <w:pPr>
              <w:jc w:val="right"/>
              <w:rPr>
                <w:rFonts w:ascii="Times New Roman" w:hAnsi="Times New Roman" w:cs="Times New Roman"/>
                <w:b/>
                <w:sz w:val="18"/>
                <w:szCs w:val="18"/>
              </w:rPr>
            </w:pPr>
            <w:r>
              <w:rPr>
                <w:rFonts w:ascii="Times New Roman" w:hAnsi="Times New Roman" w:cs="Times New Roman"/>
                <w:b/>
                <w:sz w:val="18"/>
                <w:szCs w:val="18"/>
              </w:rPr>
              <w:t>817</w:t>
            </w:r>
          </w:p>
        </w:tc>
        <w:tc>
          <w:tcPr>
            <w:tcW w:w="1134" w:type="dxa"/>
            <w:vAlign w:val="center"/>
          </w:tcPr>
          <w:p w14:paraId="678EE667" w14:textId="23063164" w:rsidR="007C351F" w:rsidRPr="007C351F" w:rsidRDefault="00E2312E" w:rsidP="007C351F">
            <w:pPr>
              <w:jc w:val="right"/>
              <w:rPr>
                <w:rFonts w:ascii="Times New Roman" w:hAnsi="Times New Roman" w:cs="Times New Roman"/>
                <w:b/>
                <w:sz w:val="18"/>
                <w:szCs w:val="18"/>
              </w:rPr>
            </w:pPr>
            <w:r>
              <w:rPr>
                <w:rFonts w:ascii="Times New Roman" w:hAnsi="Times New Roman" w:cs="Times New Roman"/>
                <w:b/>
                <w:sz w:val="18"/>
                <w:szCs w:val="18"/>
              </w:rPr>
              <w:t>637</w:t>
            </w:r>
          </w:p>
        </w:tc>
      </w:tr>
    </w:tbl>
    <w:p w14:paraId="27DCC79B" w14:textId="77777777" w:rsidR="00B72873" w:rsidRDefault="00B72873" w:rsidP="00AE50B7">
      <w:pPr>
        <w:jc w:val="both"/>
        <w:rPr>
          <w:rFonts w:ascii="Times New Roman" w:hAnsi="Times New Roman" w:cs="Times New Roman"/>
        </w:rPr>
      </w:pPr>
    </w:p>
    <w:p w14:paraId="67B3B70A" w14:textId="629A5E85" w:rsidR="00AE50B7" w:rsidRDefault="00AE50B7" w:rsidP="00AE50B7">
      <w:pPr>
        <w:jc w:val="both"/>
        <w:rPr>
          <w:rFonts w:ascii="Times New Roman" w:hAnsi="Times New Roman" w:cs="Times New Roman"/>
        </w:rPr>
      </w:pPr>
      <w:r w:rsidRPr="005E7617">
        <w:rPr>
          <w:rFonts w:ascii="Times New Roman" w:hAnsi="Times New Roman" w:cs="Times New Roman"/>
        </w:rPr>
        <w:t xml:space="preserve">Na dzień analizy rezerwy utworzone na kredyty zagrożone były w wysokości </w:t>
      </w:r>
      <w:r w:rsidR="00AE0D18">
        <w:rPr>
          <w:rFonts w:ascii="Times New Roman" w:hAnsi="Times New Roman" w:cs="Times New Roman"/>
        </w:rPr>
        <w:t>817</w:t>
      </w:r>
      <w:r w:rsidRPr="005E7617">
        <w:rPr>
          <w:rFonts w:ascii="Times New Roman" w:hAnsi="Times New Roman" w:cs="Times New Roman"/>
        </w:rPr>
        <w:t xml:space="preserve"> tys. zł natomiast obowiązujące wynosiły </w:t>
      </w:r>
      <w:r w:rsidR="00AE0D18">
        <w:rPr>
          <w:rFonts w:ascii="Times New Roman" w:hAnsi="Times New Roman" w:cs="Times New Roman"/>
        </w:rPr>
        <w:t>637</w:t>
      </w:r>
      <w:r w:rsidRPr="005E7617">
        <w:rPr>
          <w:rFonts w:ascii="Times New Roman" w:hAnsi="Times New Roman" w:cs="Times New Roman"/>
        </w:rPr>
        <w:t xml:space="preserve"> tys. zł. Różnica pomiędzy utworzoną, a obowiązującą wynika z korekt rezerw /pomniejszenia/  obowiązujących dla danego rodzaju </w:t>
      </w:r>
      <w:r w:rsidR="00260D30" w:rsidRPr="005E7617">
        <w:rPr>
          <w:rFonts w:ascii="Times New Roman" w:hAnsi="Times New Roman" w:cs="Times New Roman"/>
        </w:rPr>
        <w:t>ekspozycji.</w:t>
      </w:r>
    </w:p>
    <w:p w14:paraId="5BE24885" w14:textId="77777777" w:rsidR="00B72873" w:rsidRPr="005E7617" w:rsidRDefault="00B72873" w:rsidP="00AE50B7">
      <w:pPr>
        <w:jc w:val="both"/>
        <w:rPr>
          <w:rFonts w:ascii="Times New Roman" w:hAnsi="Times New Roman" w:cs="Times New Roman"/>
        </w:rPr>
      </w:pPr>
    </w:p>
    <w:p w14:paraId="39895507" w14:textId="77777777" w:rsidR="003600DF" w:rsidRDefault="003600DF" w:rsidP="00AD7AF8">
      <w:pPr>
        <w:jc w:val="center"/>
        <w:rPr>
          <w:rFonts w:ascii="Times New Roman" w:hAnsi="Times New Roman" w:cs="Times New Roman"/>
          <w:b/>
        </w:rPr>
      </w:pPr>
      <w:r w:rsidRPr="00AD7AF8">
        <w:rPr>
          <w:rFonts w:ascii="Times New Roman" w:hAnsi="Times New Roman" w:cs="Times New Roman"/>
          <w:b/>
        </w:rPr>
        <w:t xml:space="preserve">X.  </w:t>
      </w:r>
      <w:r w:rsidR="009B292D">
        <w:rPr>
          <w:rFonts w:ascii="Times New Roman" w:hAnsi="Times New Roman" w:cs="Times New Roman"/>
          <w:b/>
        </w:rPr>
        <w:t>INWESTYCJE FINANSOWE</w:t>
      </w:r>
      <w:r w:rsidRPr="00AD7AF8">
        <w:rPr>
          <w:rFonts w:ascii="Times New Roman" w:hAnsi="Times New Roman" w:cs="Times New Roman"/>
          <w:b/>
        </w:rPr>
        <w:t xml:space="preserve"> – INFORMACJE JAKOŚCIOWE</w:t>
      </w:r>
    </w:p>
    <w:p w14:paraId="648FBAA4" w14:textId="77777777" w:rsidR="003600DF" w:rsidRDefault="003600DF" w:rsidP="009A6274">
      <w:pPr>
        <w:pStyle w:val="Akapitzlist"/>
        <w:numPr>
          <w:ilvl w:val="0"/>
          <w:numId w:val="18"/>
        </w:numPr>
        <w:spacing w:line="240" w:lineRule="auto"/>
        <w:ind w:left="426" w:hanging="426"/>
        <w:jc w:val="both"/>
        <w:rPr>
          <w:rFonts w:ascii="Times New Roman" w:hAnsi="Times New Roman" w:cs="Times New Roman"/>
          <w:b/>
        </w:rPr>
      </w:pPr>
      <w:r w:rsidRPr="00AD7AF8">
        <w:rPr>
          <w:rFonts w:ascii="Times New Roman" w:hAnsi="Times New Roman" w:cs="Times New Roman"/>
          <w:b/>
        </w:rPr>
        <w:t>Podział ekspozycji ze względu na cel nabycia</w:t>
      </w:r>
    </w:p>
    <w:p w14:paraId="78F82241" w14:textId="77777777" w:rsidR="007902AA" w:rsidRPr="00AD7AF8" w:rsidRDefault="007902AA" w:rsidP="007902AA">
      <w:pPr>
        <w:pStyle w:val="Akapitzlist"/>
        <w:spacing w:line="240" w:lineRule="auto"/>
        <w:ind w:left="426"/>
        <w:jc w:val="both"/>
        <w:rPr>
          <w:rFonts w:ascii="Times New Roman" w:hAnsi="Times New Roman" w:cs="Times New Roman"/>
          <w:b/>
        </w:rPr>
      </w:pPr>
    </w:p>
    <w:p w14:paraId="62472168" w14:textId="77777777" w:rsidR="006479A0" w:rsidRPr="00AD7AF8" w:rsidRDefault="006479A0"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Bank angażuje swoje środki w instrumenty finansowe w celu zapewnienia utrzymania płynności, w tym utrzymania nadzorczych miar płynności oraz zwiększeniu rentowności działania</w:t>
      </w:r>
      <w:r w:rsidR="00260D30">
        <w:rPr>
          <w:rFonts w:ascii="Times New Roman" w:hAnsi="Times New Roman" w:cs="Times New Roman"/>
        </w:rPr>
        <w:t>.</w:t>
      </w:r>
    </w:p>
    <w:p w14:paraId="5DD96E1E" w14:textId="667E8691" w:rsidR="00A75BAA" w:rsidRDefault="003600DF" w:rsidP="007902AA">
      <w:pPr>
        <w:spacing w:line="240" w:lineRule="auto"/>
        <w:jc w:val="both"/>
        <w:rPr>
          <w:rFonts w:ascii="Times New Roman" w:hAnsi="Times New Roman" w:cs="Times New Roman"/>
        </w:rPr>
      </w:pPr>
      <w:r w:rsidRPr="00AD7AF8">
        <w:rPr>
          <w:rFonts w:ascii="Times New Roman" w:hAnsi="Times New Roman" w:cs="Times New Roman"/>
        </w:rPr>
        <w:t>Na dzień 31 grudnia 201</w:t>
      </w:r>
      <w:r w:rsidR="004577D2">
        <w:rPr>
          <w:rFonts w:ascii="Times New Roman" w:hAnsi="Times New Roman" w:cs="Times New Roman"/>
        </w:rPr>
        <w:t>9</w:t>
      </w:r>
      <w:r w:rsidR="00A75BAA">
        <w:rPr>
          <w:rFonts w:ascii="Times New Roman" w:hAnsi="Times New Roman" w:cs="Times New Roman"/>
        </w:rPr>
        <w:t>r. Bank posiada:</w:t>
      </w:r>
    </w:p>
    <w:p w14:paraId="79625ED8" w14:textId="639FB940" w:rsidR="003600DF" w:rsidRDefault="00A75BAA" w:rsidP="009A6274">
      <w:pPr>
        <w:pStyle w:val="Akapitzlist"/>
        <w:numPr>
          <w:ilvl w:val="0"/>
          <w:numId w:val="25"/>
        </w:numPr>
        <w:spacing w:line="240" w:lineRule="auto"/>
        <w:jc w:val="both"/>
        <w:rPr>
          <w:rFonts w:ascii="Times New Roman" w:hAnsi="Times New Roman" w:cs="Times New Roman"/>
        </w:rPr>
      </w:pPr>
      <w:r>
        <w:rPr>
          <w:rFonts w:ascii="Times New Roman" w:hAnsi="Times New Roman" w:cs="Times New Roman"/>
        </w:rPr>
        <w:t xml:space="preserve">aktywa finansowe utrzymywane do terminu zapadalności: 7-dniowa bony pieniężne w wysokości </w:t>
      </w:r>
      <w:r w:rsidR="004577D2">
        <w:rPr>
          <w:rFonts w:ascii="Times New Roman" w:hAnsi="Times New Roman" w:cs="Times New Roman"/>
        </w:rPr>
        <w:t>21 900 tyś</w:t>
      </w:r>
      <w:r>
        <w:rPr>
          <w:rFonts w:ascii="Times New Roman" w:hAnsi="Times New Roman" w:cs="Times New Roman"/>
        </w:rPr>
        <w:t xml:space="preserve"> zł oraz obligacje Banku BPS S.A w wysokości </w:t>
      </w:r>
      <w:r w:rsidR="004577D2">
        <w:rPr>
          <w:rFonts w:ascii="Times New Roman" w:hAnsi="Times New Roman" w:cs="Times New Roman"/>
        </w:rPr>
        <w:t>4 800 tyś</w:t>
      </w:r>
      <w:r>
        <w:rPr>
          <w:rFonts w:ascii="Times New Roman" w:hAnsi="Times New Roman" w:cs="Times New Roman"/>
        </w:rPr>
        <w:t xml:space="preserve"> zł</w:t>
      </w:r>
    </w:p>
    <w:p w14:paraId="4DDD7E87" w14:textId="0547418D" w:rsidR="00A75BAA" w:rsidRDefault="00A75BAA" w:rsidP="009A6274">
      <w:pPr>
        <w:pStyle w:val="Akapitzlist"/>
        <w:numPr>
          <w:ilvl w:val="0"/>
          <w:numId w:val="25"/>
        </w:numPr>
        <w:spacing w:line="240" w:lineRule="auto"/>
        <w:jc w:val="both"/>
        <w:rPr>
          <w:rFonts w:ascii="Times New Roman" w:hAnsi="Times New Roman" w:cs="Times New Roman"/>
        </w:rPr>
      </w:pPr>
      <w:r>
        <w:rPr>
          <w:rFonts w:ascii="Times New Roman" w:hAnsi="Times New Roman" w:cs="Times New Roman"/>
        </w:rPr>
        <w:t>Aktywa finansowe dostępne do sprzedaży: Obligacje</w:t>
      </w:r>
      <w:r w:rsidR="003A65C3">
        <w:rPr>
          <w:rFonts w:ascii="Times New Roman" w:hAnsi="Times New Roman" w:cs="Times New Roman"/>
        </w:rPr>
        <w:t xml:space="preserve"> Skarbowe w wysokości </w:t>
      </w:r>
      <w:r w:rsidR="004577D2">
        <w:rPr>
          <w:rFonts w:ascii="Times New Roman" w:hAnsi="Times New Roman" w:cs="Times New Roman"/>
        </w:rPr>
        <w:t>11 000</w:t>
      </w:r>
      <w:r w:rsidR="003A65C3">
        <w:rPr>
          <w:rFonts w:ascii="Times New Roman" w:hAnsi="Times New Roman" w:cs="Times New Roman"/>
        </w:rPr>
        <w:t xml:space="preserve"> ty</w:t>
      </w:r>
      <w:r w:rsidR="004577D2">
        <w:rPr>
          <w:rFonts w:ascii="Times New Roman" w:hAnsi="Times New Roman" w:cs="Times New Roman"/>
        </w:rPr>
        <w:t>ś</w:t>
      </w:r>
      <w:r>
        <w:rPr>
          <w:rFonts w:ascii="Times New Roman" w:hAnsi="Times New Roman" w:cs="Times New Roman"/>
        </w:rPr>
        <w:t xml:space="preserve"> </w:t>
      </w:r>
      <w:r w:rsidR="003A65C3">
        <w:rPr>
          <w:rFonts w:ascii="Times New Roman" w:hAnsi="Times New Roman" w:cs="Times New Roman"/>
        </w:rPr>
        <w:t>zł</w:t>
      </w:r>
      <w:r w:rsidR="004577D2">
        <w:rPr>
          <w:rFonts w:ascii="Times New Roman" w:hAnsi="Times New Roman" w:cs="Times New Roman"/>
        </w:rPr>
        <w:t>,</w:t>
      </w:r>
      <w:r w:rsidR="003A65C3">
        <w:rPr>
          <w:rFonts w:ascii="Times New Roman" w:hAnsi="Times New Roman" w:cs="Times New Roman"/>
        </w:rPr>
        <w:t xml:space="preserve"> </w:t>
      </w:r>
      <w:r w:rsidR="003A65C3" w:rsidRPr="003A65C3">
        <w:rPr>
          <w:rFonts w:ascii="Times New Roman" w:hAnsi="Times New Roman" w:cs="Times New Roman"/>
        </w:rPr>
        <w:t xml:space="preserve">obligacje  </w:t>
      </w:r>
      <w:r w:rsidR="00AE553B">
        <w:rPr>
          <w:rFonts w:ascii="Times New Roman" w:hAnsi="Times New Roman" w:cs="Times New Roman"/>
        </w:rPr>
        <w:t>PKNORLEN</w:t>
      </w:r>
      <w:r w:rsidR="003A65C3">
        <w:rPr>
          <w:rFonts w:ascii="Times New Roman" w:hAnsi="Times New Roman" w:cs="Times New Roman"/>
        </w:rPr>
        <w:t xml:space="preserve"> w kwocie </w:t>
      </w:r>
      <w:r w:rsidR="00AE553B">
        <w:rPr>
          <w:rFonts w:ascii="Times New Roman" w:hAnsi="Times New Roman" w:cs="Times New Roman"/>
        </w:rPr>
        <w:t>6</w:t>
      </w:r>
      <w:r w:rsidR="006E0F4F">
        <w:rPr>
          <w:rFonts w:ascii="Times New Roman" w:hAnsi="Times New Roman" w:cs="Times New Roman"/>
        </w:rPr>
        <w:t>36</w:t>
      </w:r>
      <w:r w:rsidR="003A65C3">
        <w:rPr>
          <w:rFonts w:ascii="Times New Roman" w:hAnsi="Times New Roman" w:cs="Times New Roman"/>
        </w:rPr>
        <w:t xml:space="preserve"> ty</w:t>
      </w:r>
      <w:r w:rsidR="004577D2">
        <w:rPr>
          <w:rFonts w:ascii="Times New Roman" w:hAnsi="Times New Roman" w:cs="Times New Roman"/>
        </w:rPr>
        <w:t>ś zł oraz obligacje Alior Banku w wysokości 810 tyś zł.</w:t>
      </w:r>
    </w:p>
    <w:p w14:paraId="454BD6D6" w14:textId="77777777" w:rsidR="00260D30" w:rsidRPr="00A75BAA" w:rsidRDefault="00260D30" w:rsidP="00260D30">
      <w:pPr>
        <w:pStyle w:val="Akapitzlist"/>
        <w:spacing w:line="240" w:lineRule="auto"/>
        <w:jc w:val="both"/>
        <w:rPr>
          <w:rFonts w:ascii="Times New Roman" w:hAnsi="Times New Roman" w:cs="Times New Roman"/>
        </w:rPr>
      </w:pPr>
    </w:p>
    <w:p w14:paraId="097DA8C3" w14:textId="77777777" w:rsidR="003600DF" w:rsidRPr="00AD7AF8" w:rsidRDefault="0017233F" w:rsidP="009A6274">
      <w:pPr>
        <w:pStyle w:val="Akapitzlist"/>
        <w:numPr>
          <w:ilvl w:val="0"/>
          <w:numId w:val="18"/>
        </w:numPr>
        <w:spacing w:line="240" w:lineRule="auto"/>
        <w:jc w:val="both"/>
        <w:rPr>
          <w:rFonts w:ascii="Times New Roman" w:hAnsi="Times New Roman" w:cs="Times New Roman"/>
          <w:b/>
        </w:rPr>
      </w:pPr>
      <w:r w:rsidRPr="00AD7AF8">
        <w:rPr>
          <w:rFonts w:ascii="Times New Roman" w:hAnsi="Times New Roman" w:cs="Times New Roman"/>
          <w:b/>
        </w:rPr>
        <w:t>Opis stosowanych metod wyceny</w:t>
      </w:r>
    </w:p>
    <w:p w14:paraId="34BFEC39" w14:textId="77777777" w:rsidR="00B23868" w:rsidRPr="00B23868" w:rsidRDefault="00B23868" w:rsidP="00B23868">
      <w:pPr>
        <w:spacing w:line="240" w:lineRule="auto"/>
        <w:jc w:val="both"/>
        <w:rPr>
          <w:rFonts w:ascii="Times New Roman" w:hAnsi="Times New Roman" w:cs="Times New Roman"/>
        </w:rPr>
      </w:pPr>
      <w:r w:rsidRPr="00B23868">
        <w:rPr>
          <w:rFonts w:ascii="Times New Roman" w:hAnsi="Times New Roman" w:cs="Times New Roman"/>
        </w:rPr>
        <w:t>Na dzień bilansowy bank wycenia papiery wartościowe</w:t>
      </w:r>
      <w:r w:rsidR="006E0F4F">
        <w:rPr>
          <w:rFonts w:ascii="Times New Roman" w:hAnsi="Times New Roman" w:cs="Times New Roman"/>
        </w:rPr>
        <w:t xml:space="preserve"> następująco</w:t>
      </w:r>
      <w:r w:rsidRPr="00B23868">
        <w:rPr>
          <w:rFonts w:ascii="Times New Roman" w:hAnsi="Times New Roman" w:cs="Times New Roman"/>
        </w:rPr>
        <w:t>:</w:t>
      </w:r>
    </w:p>
    <w:p w14:paraId="41D62711" w14:textId="77777777" w:rsidR="00B23868" w:rsidRPr="00B23868" w:rsidRDefault="00B23868" w:rsidP="009A6274">
      <w:pPr>
        <w:pStyle w:val="Akapitzlist"/>
        <w:numPr>
          <w:ilvl w:val="0"/>
          <w:numId w:val="26"/>
        </w:numPr>
        <w:spacing w:line="240" w:lineRule="auto"/>
        <w:jc w:val="both"/>
        <w:rPr>
          <w:rFonts w:ascii="Times New Roman" w:hAnsi="Times New Roman" w:cs="Times New Roman"/>
        </w:rPr>
      </w:pPr>
      <w:r w:rsidRPr="00B23868">
        <w:rPr>
          <w:rFonts w:ascii="Times New Roman" w:hAnsi="Times New Roman" w:cs="Times New Roman"/>
        </w:rPr>
        <w:t>dostępne do sprzedaży według wartości godziwej, a skutki zmian wartości godziwej odnosi na kapitał (fundusz) z aktualizacji wyceny,</w:t>
      </w:r>
    </w:p>
    <w:p w14:paraId="4FA58147" w14:textId="77777777" w:rsidR="00B23868" w:rsidRDefault="00B23868" w:rsidP="009A6274">
      <w:pPr>
        <w:pStyle w:val="Akapitzlist"/>
        <w:numPr>
          <w:ilvl w:val="0"/>
          <w:numId w:val="26"/>
        </w:numPr>
        <w:spacing w:line="240" w:lineRule="auto"/>
        <w:jc w:val="both"/>
        <w:rPr>
          <w:rFonts w:ascii="Times New Roman" w:hAnsi="Times New Roman" w:cs="Times New Roman"/>
        </w:rPr>
      </w:pPr>
      <w:r w:rsidRPr="00B23868">
        <w:rPr>
          <w:rFonts w:ascii="Times New Roman" w:hAnsi="Times New Roman" w:cs="Times New Roman"/>
        </w:rPr>
        <w:t>utrzymywane do terminu zapadalności według zamortyzowanego kosztu, z uwzględnieniem metody efektywnej stopy procentowej.</w:t>
      </w:r>
    </w:p>
    <w:p w14:paraId="32828FF3" w14:textId="77777777" w:rsidR="001F3BB4" w:rsidRDefault="001F3BB4" w:rsidP="001F3BB4">
      <w:pPr>
        <w:pStyle w:val="Akapitzlist"/>
        <w:spacing w:line="240" w:lineRule="auto"/>
        <w:jc w:val="both"/>
        <w:rPr>
          <w:rFonts w:ascii="Times New Roman" w:hAnsi="Times New Roman" w:cs="Times New Roman"/>
        </w:rPr>
      </w:pPr>
    </w:p>
    <w:p w14:paraId="55D91FF6" w14:textId="77777777" w:rsidR="001F3BB4" w:rsidRDefault="001F3BB4" w:rsidP="001F3BB4">
      <w:pPr>
        <w:pStyle w:val="Akapitzlist"/>
        <w:spacing w:line="240" w:lineRule="auto"/>
        <w:jc w:val="both"/>
        <w:rPr>
          <w:rFonts w:ascii="Times New Roman" w:hAnsi="Times New Roman" w:cs="Times New Roman"/>
        </w:rPr>
      </w:pPr>
    </w:p>
    <w:p w14:paraId="05AC1389" w14:textId="77777777" w:rsidR="001F3BB4" w:rsidRDefault="001F3BB4" w:rsidP="001F3BB4">
      <w:pPr>
        <w:pStyle w:val="Akapitzlist"/>
        <w:spacing w:line="240" w:lineRule="auto"/>
        <w:jc w:val="both"/>
        <w:rPr>
          <w:rFonts w:ascii="Times New Roman" w:hAnsi="Times New Roman" w:cs="Times New Roman"/>
        </w:rPr>
      </w:pPr>
    </w:p>
    <w:p w14:paraId="35762937" w14:textId="77777777" w:rsidR="001F3BB4" w:rsidRDefault="001F3BB4" w:rsidP="001F3BB4">
      <w:pPr>
        <w:pStyle w:val="Akapitzlist"/>
        <w:spacing w:line="240" w:lineRule="auto"/>
        <w:jc w:val="both"/>
        <w:rPr>
          <w:rFonts w:ascii="Times New Roman" w:hAnsi="Times New Roman" w:cs="Times New Roman"/>
        </w:rPr>
      </w:pPr>
    </w:p>
    <w:p w14:paraId="1117F089" w14:textId="77777777" w:rsidR="001F3BB4" w:rsidRDefault="001F3BB4" w:rsidP="001F3BB4">
      <w:pPr>
        <w:pStyle w:val="Akapitzlist"/>
        <w:spacing w:line="240" w:lineRule="auto"/>
        <w:jc w:val="both"/>
        <w:rPr>
          <w:rFonts w:ascii="Times New Roman" w:hAnsi="Times New Roman" w:cs="Times New Roman"/>
        </w:rPr>
      </w:pPr>
    </w:p>
    <w:p w14:paraId="5E736B2B" w14:textId="77777777" w:rsidR="001F3BB4" w:rsidRPr="00B23868" w:rsidRDefault="001F3BB4" w:rsidP="001F3BB4">
      <w:pPr>
        <w:pStyle w:val="Akapitzlist"/>
        <w:spacing w:line="240" w:lineRule="auto"/>
        <w:jc w:val="both"/>
        <w:rPr>
          <w:rFonts w:ascii="Times New Roman" w:hAnsi="Times New Roman" w:cs="Times New Roman"/>
        </w:rPr>
      </w:pPr>
    </w:p>
    <w:p w14:paraId="6B1C7FF9" w14:textId="77777777" w:rsidR="008D5FED" w:rsidRDefault="00E57F84" w:rsidP="00AD7AF8">
      <w:pPr>
        <w:jc w:val="center"/>
        <w:rPr>
          <w:rFonts w:ascii="Times New Roman" w:hAnsi="Times New Roman" w:cs="Times New Roman"/>
          <w:b/>
        </w:rPr>
      </w:pPr>
      <w:r w:rsidRPr="00AD7AF8">
        <w:rPr>
          <w:rFonts w:ascii="Times New Roman" w:hAnsi="Times New Roman" w:cs="Times New Roman"/>
          <w:b/>
        </w:rPr>
        <w:lastRenderedPageBreak/>
        <w:t>X</w:t>
      </w:r>
      <w:r w:rsidR="009B6591">
        <w:rPr>
          <w:rFonts w:ascii="Times New Roman" w:hAnsi="Times New Roman" w:cs="Times New Roman"/>
          <w:b/>
        </w:rPr>
        <w:t>I</w:t>
      </w:r>
      <w:r w:rsidR="00E82E68">
        <w:rPr>
          <w:rFonts w:ascii="Times New Roman" w:hAnsi="Times New Roman" w:cs="Times New Roman"/>
          <w:b/>
        </w:rPr>
        <w:t>.</w:t>
      </w:r>
      <w:r w:rsidR="003A65C3">
        <w:rPr>
          <w:rFonts w:ascii="Times New Roman" w:hAnsi="Times New Roman" w:cs="Times New Roman"/>
          <w:b/>
        </w:rPr>
        <w:t xml:space="preserve"> </w:t>
      </w:r>
      <w:r w:rsidR="009B292D">
        <w:rPr>
          <w:rFonts w:ascii="Times New Roman" w:hAnsi="Times New Roman" w:cs="Times New Roman"/>
          <w:b/>
        </w:rPr>
        <w:t xml:space="preserve">INWESTYCJE FINANSOWE- </w:t>
      </w:r>
      <w:r w:rsidRPr="00AD7AF8">
        <w:rPr>
          <w:rFonts w:ascii="Times New Roman" w:hAnsi="Times New Roman" w:cs="Times New Roman"/>
          <w:b/>
        </w:rPr>
        <w:t>INFORMACJE ILOŚCIOWE</w:t>
      </w:r>
    </w:p>
    <w:tbl>
      <w:tblPr>
        <w:tblW w:w="93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10" w:type="dxa"/>
          <w:left w:w="210" w:type="dxa"/>
          <w:bottom w:w="210" w:type="dxa"/>
          <w:right w:w="210" w:type="dxa"/>
        </w:tblCellMar>
        <w:tblLook w:val="04A0" w:firstRow="1" w:lastRow="0" w:firstColumn="1" w:lastColumn="0" w:noHBand="0" w:noVBand="1"/>
      </w:tblPr>
      <w:tblGrid>
        <w:gridCol w:w="1696"/>
        <w:gridCol w:w="2126"/>
        <w:gridCol w:w="1417"/>
        <w:gridCol w:w="851"/>
        <w:gridCol w:w="1375"/>
        <w:gridCol w:w="1035"/>
        <w:gridCol w:w="850"/>
      </w:tblGrid>
      <w:tr w:rsidR="004577D2" w:rsidRPr="004577D2" w14:paraId="653B110E" w14:textId="77777777" w:rsidTr="004577D2">
        <w:trPr>
          <w:trHeight w:val="840"/>
          <w:tblCellSpacing w:w="0" w:type="dxa"/>
        </w:trPr>
        <w:tc>
          <w:tcPr>
            <w:tcW w:w="1696" w:type="dxa"/>
            <w:tcMar>
              <w:top w:w="0" w:type="dxa"/>
              <w:left w:w="108" w:type="dxa"/>
              <w:bottom w:w="0" w:type="dxa"/>
              <w:right w:w="0" w:type="dxa"/>
            </w:tcMar>
            <w:hideMark/>
          </w:tcPr>
          <w:p w14:paraId="09643C1C" w14:textId="77777777" w:rsidR="004577D2" w:rsidRPr="004577D2" w:rsidRDefault="004577D2" w:rsidP="004577D2">
            <w:pPr>
              <w:spacing w:after="0" w:line="240" w:lineRule="auto"/>
              <w:ind w:right="40"/>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Nazwa instrumentu finansowego</w:t>
            </w:r>
          </w:p>
        </w:tc>
        <w:tc>
          <w:tcPr>
            <w:tcW w:w="2126" w:type="dxa"/>
            <w:tcMar>
              <w:top w:w="0" w:type="dxa"/>
              <w:left w:w="108" w:type="dxa"/>
              <w:bottom w:w="0" w:type="dxa"/>
              <w:right w:w="0" w:type="dxa"/>
            </w:tcMar>
            <w:hideMark/>
          </w:tcPr>
          <w:p w14:paraId="6562B937" w14:textId="29D3AFC9" w:rsidR="004577D2" w:rsidRDefault="004577D2" w:rsidP="004577D2">
            <w:pPr>
              <w:spacing w:after="0" w:line="240" w:lineRule="auto"/>
              <w:ind w:right="-28" w:hanging="1565"/>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Kategoria</w:t>
            </w:r>
          </w:p>
          <w:p w14:paraId="390B8C16" w14:textId="161E0648" w:rsidR="004577D2" w:rsidRPr="004577D2" w:rsidRDefault="004577D2" w:rsidP="004577D2">
            <w:pPr>
              <w:ind w:firstLine="708"/>
              <w:rPr>
                <w:rFonts w:ascii="Times New Roman" w:eastAsia="Times New Roman" w:hAnsi="Times New Roman" w:cs="Times New Roman"/>
                <w:b/>
                <w:sz w:val="20"/>
                <w:szCs w:val="20"/>
                <w:lang w:eastAsia="pl-PL"/>
              </w:rPr>
            </w:pPr>
            <w:r w:rsidRPr="004577D2">
              <w:rPr>
                <w:rFonts w:ascii="Times New Roman" w:eastAsia="Times New Roman" w:hAnsi="Times New Roman" w:cs="Times New Roman"/>
                <w:b/>
                <w:sz w:val="20"/>
                <w:szCs w:val="20"/>
                <w:lang w:eastAsia="pl-PL"/>
              </w:rPr>
              <w:t>Kategoria</w:t>
            </w:r>
          </w:p>
        </w:tc>
        <w:tc>
          <w:tcPr>
            <w:tcW w:w="1417" w:type="dxa"/>
            <w:tcMar>
              <w:top w:w="0" w:type="dxa"/>
              <w:left w:w="108" w:type="dxa"/>
              <w:bottom w:w="0" w:type="dxa"/>
              <w:right w:w="0" w:type="dxa"/>
            </w:tcMar>
            <w:hideMark/>
          </w:tcPr>
          <w:p w14:paraId="176851EB"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Termin zapadalności</w:t>
            </w:r>
          </w:p>
        </w:tc>
        <w:tc>
          <w:tcPr>
            <w:tcW w:w="851" w:type="dxa"/>
            <w:tcMar>
              <w:top w:w="0" w:type="dxa"/>
              <w:left w:w="108" w:type="dxa"/>
              <w:bottom w:w="0" w:type="dxa"/>
              <w:right w:w="0" w:type="dxa"/>
            </w:tcMar>
            <w:hideMark/>
          </w:tcPr>
          <w:p w14:paraId="181B5D2B"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Ilość (szt.)</w:t>
            </w:r>
          </w:p>
        </w:tc>
        <w:tc>
          <w:tcPr>
            <w:tcW w:w="1375" w:type="dxa"/>
            <w:tcMar>
              <w:top w:w="0" w:type="dxa"/>
              <w:left w:w="108" w:type="dxa"/>
              <w:bottom w:w="0" w:type="dxa"/>
              <w:right w:w="0" w:type="dxa"/>
            </w:tcMar>
            <w:hideMark/>
          </w:tcPr>
          <w:p w14:paraId="6CD20852"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Wartość nabycia (zł)</w:t>
            </w:r>
          </w:p>
        </w:tc>
        <w:tc>
          <w:tcPr>
            <w:tcW w:w="1035" w:type="dxa"/>
            <w:tcMar>
              <w:top w:w="0" w:type="dxa"/>
              <w:left w:w="108" w:type="dxa"/>
              <w:bottom w:w="0" w:type="dxa"/>
              <w:right w:w="0" w:type="dxa"/>
            </w:tcMar>
            <w:hideMark/>
          </w:tcPr>
          <w:p w14:paraId="5096197D"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Oprocentowanie</w:t>
            </w:r>
          </w:p>
        </w:tc>
        <w:tc>
          <w:tcPr>
            <w:tcW w:w="850" w:type="dxa"/>
            <w:tcMar>
              <w:top w:w="0" w:type="dxa"/>
              <w:left w:w="108" w:type="dxa"/>
              <w:bottom w:w="0" w:type="dxa"/>
              <w:right w:w="108" w:type="dxa"/>
            </w:tcMar>
            <w:hideMark/>
          </w:tcPr>
          <w:p w14:paraId="295CB93D"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Waga ryzyka</w:t>
            </w:r>
          </w:p>
        </w:tc>
      </w:tr>
      <w:tr w:rsidR="004577D2" w:rsidRPr="004577D2" w14:paraId="308C0C61" w14:textId="77777777" w:rsidTr="004577D2">
        <w:trPr>
          <w:tblCellSpacing w:w="0" w:type="dxa"/>
        </w:trPr>
        <w:tc>
          <w:tcPr>
            <w:tcW w:w="1696" w:type="dxa"/>
            <w:tcMar>
              <w:top w:w="0" w:type="dxa"/>
              <w:left w:w="108" w:type="dxa"/>
              <w:bottom w:w="0" w:type="dxa"/>
              <w:right w:w="0" w:type="dxa"/>
            </w:tcMar>
            <w:hideMark/>
          </w:tcPr>
          <w:p w14:paraId="260A3342" w14:textId="77777777" w:rsidR="004577D2" w:rsidRPr="004577D2" w:rsidRDefault="004577D2" w:rsidP="004577D2">
            <w:pPr>
              <w:spacing w:after="0" w:line="240" w:lineRule="auto"/>
              <w:ind w:right="6"/>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Obligacje skarbowe typu WZ0124</w:t>
            </w:r>
          </w:p>
        </w:tc>
        <w:tc>
          <w:tcPr>
            <w:tcW w:w="2126" w:type="dxa"/>
            <w:tcMar>
              <w:top w:w="0" w:type="dxa"/>
              <w:left w:w="108" w:type="dxa"/>
              <w:bottom w:w="0" w:type="dxa"/>
              <w:right w:w="0" w:type="dxa"/>
            </w:tcMar>
            <w:hideMark/>
          </w:tcPr>
          <w:p w14:paraId="705D3767"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Aktywa finansowe DDS</w:t>
            </w:r>
          </w:p>
        </w:tc>
        <w:tc>
          <w:tcPr>
            <w:tcW w:w="1417" w:type="dxa"/>
            <w:tcMar>
              <w:top w:w="0" w:type="dxa"/>
              <w:left w:w="108" w:type="dxa"/>
              <w:bottom w:w="0" w:type="dxa"/>
              <w:right w:w="0" w:type="dxa"/>
            </w:tcMar>
            <w:hideMark/>
          </w:tcPr>
          <w:p w14:paraId="43234EBF"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25.01.2024r.</w:t>
            </w:r>
          </w:p>
        </w:tc>
        <w:tc>
          <w:tcPr>
            <w:tcW w:w="851" w:type="dxa"/>
            <w:tcMar>
              <w:top w:w="0" w:type="dxa"/>
              <w:left w:w="108" w:type="dxa"/>
              <w:bottom w:w="0" w:type="dxa"/>
              <w:right w:w="0" w:type="dxa"/>
            </w:tcMar>
            <w:hideMark/>
          </w:tcPr>
          <w:p w14:paraId="3C90D79E"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9.000</w:t>
            </w:r>
          </w:p>
        </w:tc>
        <w:tc>
          <w:tcPr>
            <w:tcW w:w="1375" w:type="dxa"/>
            <w:tcMar>
              <w:top w:w="0" w:type="dxa"/>
              <w:left w:w="108" w:type="dxa"/>
              <w:bottom w:w="0" w:type="dxa"/>
              <w:right w:w="0" w:type="dxa"/>
            </w:tcMar>
            <w:hideMark/>
          </w:tcPr>
          <w:p w14:paraId="1BACA743"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9.000.000,00</w:t>
            </w:r>
          </w:p>
        </w:tc>
        <w:tc>
          <w:tcPr>
            <w:tcW w:w="1035" w:type="dxa"/>
            <w:tcMar>
              <w:top w:w="0" w:type="dxa"/>
              <w:left w:w="108" w:type="dxa"/>
              <w:bottom w:w="0" w:type="dxa"/>
              <w:right w:w="0" w:type="dxa"/>
            </w:tcMar>
            <w:hideMark/>
          </w:tcPr>
          <w:p w14:paraId="4999672B"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1,79%</w:t>
            </w:r>
          </w:p>
        </w:tc>
        <w:tc>
          <w:tcPr>
            <w:tcW w:w="850" w:type="dxa"/>
            <w:tcMar>
              <w:top w:w="0" w:type="dxa"/>
              <w:left w:w="108" w:type="dxa"/>
              <w:bottom w:w="0" w:type="dxa"/>
              <w:right w:w="108" w:type="dxa"/>
            </w:tcMar>
            <w:hideMark/>
          </w:tcPr>
          <w:p w14:paraId="1D17AE72"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0%</w:t>
            </w:r>
          </w:p>
        </w:tc>
      </w:tr>
      <w:tr w:rsidR="004577D2" w:rsidRPr="004577D2" w14:paraId="4C48D934" w14:textId="77777777" w:rsidTr="004577D2">
        <w:trPr>
          <w:tblCellSpacing w:w="0" w:type="dxa"/>
        </w:trPr>
        <w:tc>
          <w:tcPr>
            <w:tcW w:w="1696" w:type="dxa"/>
            <w:tcMar>
              <w:top w:w="0" w:type="dxa"/>
              <w:left w:w="108" w:type="dxa"/>
              <w:bottom w:w="0" w:type="dxa"/>
              <w:right w:w="0" w:type="dxa"/>
            </w:tcMar>
            <w:hideMark/>
          </w:tcPr>
          <w:p w14:paraId="07C3AB3A" w14:textId="77777777" w:rsidR="004577D2" w:rsidRPr="004577D2" w:rsidRDefault="004577D2" w:rsidP="004577D2">
            <w:pPr>
              <w:spacing w:after="0" w:line="240" w:lineRule="auto"/>
              <w:ind w:right="6"/>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Obligacje skarbowe typu WZ0126</w:t>
            </w:r>
          </w:p>
        </w:tc>
        <w:tc>
          <w:tcPr>
            <w:tcW w:w="2126" w:type="dxa"/>
            <w:tcMar>
              <w:top w:w="0" w:type="dxa"/>
              <w:left w:w="108" w:type="dxa"/>
              <w:bottom w:w="0" w:type="dxa"/>
              <w:right w:w="0" w:type="dxa"/>
            </w:tcMar>
            <w:hideMark/>
          </w:tcPr>
          <w:p w14:paraId="788C7635"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Aktywa finansowe DDS</w:t>
            </w:r>
          </w:p>
        </w:tc>
        <w:tc>
          <w:tcPr>
            <w:tcW w:w="1417" w:type="dxa"/>
            <w:tcMar>
              <w:top w:w="0" w:type="dxa"/>
              <w:left w:w="108" w:type="dxa"/>
              <w:bottom w:w="0" w:type="dxa"/>
              <w:right w:w="0" w:type="dxa"/>
            </w:tcMar>
            <w:hideMark/>
          </w:tcPr>
          <w:p w14:paraId="3F9FBA8D"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25.07.2025r.</w:t>
            </w:r>
          </w:p>
        </w:tc>
        <w:tc>
          <w:tcPr>
            <w:tcW w:w="851" w:type="dxa"/>
            <w:tcMar>
              <w:top w:w="0" w:type="dxa"/>
              <w:left w:w="108" w:type="dxa"/>
              <w:bottom w:w="0" w:type="dxa"/>
              <w:right w:w="0" w:type="dxa"/>
            </w:tcMar>
            <w:hideMark/>
          </w:tcPr>
          <w:p w14:paraId="6DC49141"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2.000</w:t>
            </w:r>
          </w:p>
        </w:tc>
        <w:tc>
          <w:tcPr>
            <w:tcW w:w="1375" w:type="dxa"/>
            <w:tcMar>
              <w:top w:w="0" w:type="dxa"/>
              <w:left w:w="108" w:type="dxa"/>
              <w:bottom w:w="0" w:type="dxa"/>
              <w:right w:w="0" w:type="dxa"/>
            </w:tcMar>
            <w:hideMark/>
          </w:tcPr>
          <w:p w14:paraId="2905693E"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2.000.000,00</w:t>
            </w:r>
          </w:p>
        </w:tc>
        <w:tc>
          <w:tcPr>
            <w:tcW w:w="1035" w:type="dxa"/>
            <w:tcMar>
              <w:top w:w="0" w:type="dxa"/>
              <w:left w:w="108" w:type="dxa"/>
              <w:bottom w:w="0" w:type="dxa"/>
              <w:right w:w="0" w:type="dxa"/>
            </w:tcMar>
            <w:hideMark/>
          </w:tcPr>
          <w:p w14:paraId="4FA34876"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1,79%</w:t>
            </w:r>
          </w:p>
        </w:tc>
        <w:tc>
          <w:tcPr>
            <w:tcW w:w="850" w:type="dxa"/>
            <w:tcMar>
              <w:top w:w="0" w:type="dxa"/>
              <w:left w:w="108" w:type="dxa"/>
              <w:bottom w:w="0" w:type="dxa"/>
              <w:right w:w="108" w:type="dxa"/>
            </w:tcMar>
            <w:hideMark/>
          </w:tcPr>
          <w:p w14:paraId="461FC802"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0%</w:t>
            </w:r>
          </w:p>
        </w:tc>
      </w:tr>
      <w:tr w:rsidR="004577D2" w:rsidRPr="004577D2" w14:paraId="390F7CE8" w14:textId="77777777" w:rsidTr="004577D2">
        <w:trPr>
          <w:trHeight w:val="45"/>
          <w:tblCellSpacing w:w="0" w:type="dxa"/>
        </w:trPr>
        <w:tc>
          <w:tcPr>
            <w:tcW w:w="1696" w:type="dxa"/>
            <w:tcMar>
              <w:top w:w="0" w:type="dxa"/>
              <w:left w:w="108" w:type="dxa"/>
              <w:bottom w:w="0" w:type="dxa"/>
              <w:right w:w="0" w:type="dxa"/>
            </w:tcMar>
            <w:hideMark/>
          </w:tcPr>
          <w:p w14:paraId="21C18FFC" w14:textId="77777777" w:rsidR="004577D2" w:rsidRPr="004577D2" w:rsidRDefault="004577D2" w:rsidP="004577D2">
            <w:pPr>
              <w:spacing w:after="0" w:line="240" w:lineRule="auto"/>
              <w:ind w:right="68"/>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Obligacje BPS0222</w:t>
            </w:r>
          </w:p>
        </w:tc>
        <w:tc>
          <w:tcPr>
            <w:tcW w:w="2126" w:type="dxa"/>
            <w:tcMar>
              <w:top w:w="0" w:type="dxa"/>
              <w:left w:w="108" w:type="dxa"/>
              <w:bottom w:w="0" w:type="dxa"/>
              <w:right w:w="0" w:type="dxa"/>
            </w:tcMar>
            <w:hideMark/>
          </w:tcPr>
          <w:p w14:paraId="19BD8633"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Aktywa finansowe UTZ</w:t>
            </w:r>
          </w:p>
        </w:tc>
        <w:tc>
          <w:tcPr>
            <w:tcW w:w="1417" w:type="dxa"/>
            <w:tcMar>
              <w:top w:w="0" w:type="dxa"/>
              <w:left w:w="108" w:type="dxa"/>
              <w:bottom w:w="0" w:type="dxa"/>
              <w:right w:w="0" w:type="dxa"/>
            </w:tcMar>
            <w:hideMark/>
          </w:tcPr>
          <w:p w14:paraId="16D2093A"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20.02.2022r.</w:t>
            </w:r>
          </w:p>
        </w:tc>
        <w:tc>
          <w:tcPr>
            <w:tcW w:w="851" w:type="dxa"/>
            <w:tcMar>
              <w:top w:w="0" w:type="dxa"/>
              <w:left w:w="108" w:type="dxa"/>
              <w:bottom w:w="0" w:type="dxa"/>
              <w:right w:w="0" w:type="dxa"/>
            </w:tcMar>
            <w:hideMark/>
          </w:tcPr>
          <w:p w14:paraId="12B8C07A"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4.000</w:t>
            </w:r>
          </w:p>
        </w:tc>
        <w:tc>
          <w:tcPr>
            <w:tcW w:w="1375" w:type="dxa"/>
            <w:tcMar>
              <w:top w:w="0" w:type="dxa"/>
              <w:left w:w="108" w:type="dxa"/>
              <w:bottom w:w="0" w:type="dxa"/>
              <w:right w:w="0" w:type="dxa"/>
            </w:tcMar>
            <w:hideMark/>
          </w:tcPr>
          <w:p w14:paraId="54BCC9F5"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400.000,00</w:t>
            </w:r>
          </w:p>
        </w:tc>
        <w:tc>
          <w:tcPr>
            <w:tcW w:w="1035" w:type="dxa"/>
            <w:tcMar>
              <w:top w:w="0" w:type="dxa"/>
              <w:left w:w="108" w:type="dxa"/>
              <w:bottom w:w="0" w:type="dxa"/>
              <w:right w:w="0" w:type="dxa"/>
            </w:tcMar>
            <w:hideMark/>
          </w:tcPr>
          <w:p w14:paraId="699C9A56"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4,31%</w:t>
            </w:r>
          </w:p>
        </w:tc>
        <w:tc>
          <w:tcPr>
            <w:tcW w:w="850" w:type="dxa"/>
            <w:tcMar>
              <w:top w:w="0" w:type="dxa"/>
              <w:left w:w="108" w:type="dxa"/>
              <w:bottom w:w="0" w:type="dxa"/>
              <w:right w:w="108" w:type="dxa"/>
            </w:tcMar>
            <w:hideMark/>
          </w:tcPr>
          <w:p w14:paraId="37D9C962"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0%</w:t>
            </w:r>
          </w:p>
        </w:tc>
      </w:tr>
      <w:tr w:rsidR="004577D2" w:rsidRPr="004577D2" w14:paraId="0B455C5F" w14:textId="77777777" w:rsidTr="004577D2">
        <w:trPr>
          <w:trHeight w:val="45"/>
          <w:tblCellSpacing w:w="0" w:type="dxa"/>
        </w:trPr>
        <w:tc>
          <w:tcPr>
            <w:tcW w:w="1696" w:type="dxa"/>
            <w:tcMar>
              <w:top w:w="0" w:type="dxa"/>
              <w:left w:w="108" w:type="dxa"/>
              <w:bottom w:w="0" w:type="dxa"/>
              <w:right w:w="0" w:type="dxa"/>
            </w:tcMar>
            <w:hideMark/>
          </w:tcPr>
          <w:p w14:paraId="2237B4FD" w14:textId="77777777" w:rsidR="004577D2" w:rsidRPr="004577D2" w:rsidRDefault="004577D2" w:rsidP="004577D2">
            <w:pPr>
              <w:spacing w:after="0" w:line="240" w:lineRule="auto"/>
              <w:ind w:right="68"/>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 xml:space="preserve">Obligacje BPS - </w:t>
            </w:r>
          </w:p>
          <w:p w14:paraId="4E27062E" w14:textId="77777777" w:rsidR="004577D2" w:rsidRPr="004577D2" w:rsidRDefault="004577D2" w:rsidP="004577D2">
            <w:pPr>
              <w:spacing w:after="0" w:line="240" w:lineRule="auto"/>
              <w:ind w:right="68"/>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10-letnie</w:t>
            </w:r>
          </w:p>
        </w:tc>
        <w:tc>
          <w:tcPr>
            <w:tcW w:w="2126" w:type="dxa"/>
            <w:tcMar>
              <w:top w:w="0" w:type="dxa"/>
              <w:left w:w="108" w:type="dxa"/>
              <w:bottom w:w="0" w:type="dxa"/>
              <w:right w:w="0" w:type="dxa"/>
            </w:tcMar>
            <w:hideMark/>
          </w:tcPr>
          <w:p w14:paraId="4A24FC5C"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Aktywa finansowe UTZ</w:t>
            </w:r>
          </w:p>
        </w:tc>
        <w:tc>
          <w:tcPr>
            <w:tcW w:w="1417" w:type="dxa"/>
            <w:tcMar>
              <w:top w:w="0" w:type="dxa"/>
              <w:left w:w="108" w:type="dxa"/>
              <w:bottom w:w="0" w:type="dxa"/>
              <w:right w:w="0" w:type="dxa"/>
            </w:tcMar>
            <w:hideMark/>
          </w:tcPr>
          <w:p w14:paraId="07F2339C"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29.10.2029r.</w:t>
            </w:r>
          </w:p>
        </w:tc>
        <w:tc>
          <w:tcPr>
            <w:tcW w:w="851" w:type="dxa"/>
            <w:tcMar>
              <w:top w:w="0" w:type="dxa"/>
              <w:left w:w="108" w:type="dxa"/>
              <w:bottom w:w="0" w:type="dxa"/>
              <w:right w:w="0" w:type="dxa"/>
            </w:tcMar>
            <w:hideMark/>
          </w:tcPr>
          <w:p w14:paraId="71B2A782"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11.000</w:t>
            </w:r>
          </w:p>
        </w:tc>
        <w:tc>
          <w:tcPr>
            <w:tcW w:w="1375" w:type="dxa"/>
            <w:tcMar>
              <w:top w:w="0" w:type="dxa"/>
              <w:left w:w="108" w:type="dxa"/>
              <w:bottom w:w="0" w:type="dxa"/>
              <w:right w:w="0" w:type="dxa"/>
            </w:tcMar>
            <w:hideMark/>
          </w:tcPr>
          <w:p w14:paraId="6DD11D23"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4.400.000,00</w:t>
            </w:r>
          </w:p>
        </w:tc>
        <w:tc>
          <w:tcPr>
            <w:tcW w:w="1035" w:type="dxa"/>
            <w:tcMar>
              <w:top w:w="0" w:type="dxa"/>
              <w:left w:w="108" w:type="dxa"/>
              <w:bottom w:w="0" w:type="dxa"/>
              <w:right w:w="0" w:type="dxa"/>
            </w:tcMar>
            <w:hideMark/>
          </w:tcPr>
          <w:p w14:paraId="0A57ABBF"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4,29%</w:t>
            </w:r>
          </w:p>
        </w:tc>
        <w:tc>
          <w:tcPr>
            <w:tcW w:w="850" w:type="dxa"/>
            <w:tcMar>
              <w:top w:w="0" w:type="dxa"/>
              <w:left w:w="108" w:type="dxa"/>
              <w:bottom w:w="0" w:type="dxa"/>
              <w:right w:w="108" w:type="dxa"/>
            </w:tcMar>
            <w:hideMark/>
          </w:tcPr>
          <w:p w14:paraId="606484BE"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100%</w:t>
            </w:r>
            <w:r w:rsidRPr="004577D2">
              <w:rPr>
                <w:rFonts w:ascii="Times New Roman" w:eastAsia="Times New Roman" w:hAnsi="Times New Roman" w:cs="Times New Roman"/>
                <w:b/>
                <w:bCs/>
                <w:color w:val="000000"/>
                <w:sz w:val="20"/>
                <w:szCs w:val="20"/>
                <w:lang w:eastAsia="pl-PL"/>
              </w:rPr>
              <w:t>*</w:t>
            </w:r>
          </w:p>
        </w:tc>
      </w:tr>
      <w:tr w:rsidR="004577D2" w:rsidRPr="004577D2" w14:paraId="2E616D77" w14:textId="77777777" w:rsidTr="004577D2">
        <w:trPr>
          <w:trHeight w:val="495"/>
          <w:tblCellSpacing w:w="0" w:type="dxa"/>
        </w:trPr>
        <w:tc>
          <w:tcPr>
            <w:tcW w:w="1696" w:type="dxa"/>
            <w:tcMar>
              <w:top w:w="0" w:type="dxa"/>
              <w:left w:w="108" w:type="dxa"/>
              <w:bottom w:w="0" w:type="dxa"/>
              <w:right w:w="0" w:type="dxa"/>
            </w:tcMar>
            <w:hideMark/>
          </w:tcPr>
          <w:p w14:paraId="7EF558D6" w14:textId="77777777" w:rsidR="004577D2" w:rsidRPr="004577D2" w:rsidRDefault="004577D2" w:rsidP="004577D2">
            <w:pPr>
              <w:spacing w:after="0" w:line="240" w:lineRule="auto"/>
              <w:ind w:right="68"/>
              <w:jc w:val="both"/>
              <w:rPr>
                <w:rFonts w:ascii="Times New Roman" w:eastAsia="Times New Roman" w:hAnsi="Times New Roman" w:cs="Times New Roman"/>
                <w:color w:val="000000"/>
                <w:sz w:val="20"/>
                <w:szCs w:val="20"/>
                <w:lang w:val="en-US" w:eastAsia="pl-PL"/>
              </w:rPr>
            </w:pPr>
            <w:r w:rsidRPr="004577D2">
              <w:rPr>
                <w:rFonts w:ascii="Times New Roman" w:eastAsia="Times New Roman" w:hAnsi="Times New Roman" w:cs="Times New Roman"/>
                <w:b/>
                <w:bCs/>
                <w:color w:val="000000"/>
                <w:sz w:val="20"/>
                <w:szCs w:val="20"/>
                <w:lang w:val="en-US" w:eastAsia="pl-PL"/>
              </w:rPr>
              <w:t>Obligacje PKN Orlen PKN0921 serii A</w:t>
            </w:r>
          </w:p>
        </w:tc>
        <w:tc>
          <w:tcPr>
            <w:tcW w:w="2126" w:type="dxa"/>
            <w:tcMar>
              <w:top w:w="0" w:type="dxa"/>
              <w:left w:w="108" w:type="dxa"/>
              <w:bottom w:w="0" w:type="dxa"/>
              <w:right w:w="0" w:type="dxa"/>
            </w:tcMar>
            <w:hideMark/>
          </w:tcPr>
          <w:p w14:paraId="255E1004"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Aktywa finansowe DDS</w:t>
            </w:r>
          </w:p>
        </w:tc>
        <w:tc>
          <w:tcPr>
            <w:tcW w:w="1417" w:type="dxa"/>
            <w:tcMar>
              <w:top w:w="0" w:type="dxa"/>
              <w:left w:w="108" w:type="dxa"/>
              <w:bottom w:w="0" w:type="dxa"/>
              <w:right w:w="0" w:type="dxa"/>
            </w:tcMar>
            <w:hideMark/>
          </w:tcPr>
          <w:p w14:paraId="2499301D"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19.09.2021r</w:t>
            </w:r>
          </w:p>
        </w:tc>
        <w:tc>
          <w:tcPr>
            <w:tcW w:w="851" w:type="dxa"/>
            <w:tcMar>
              <w:top w:w="0" w:type="dxa"/>
              <w:left w:w="108" w:type="dxa"/>
              <w:bottom w:w="0" w:type="dxa"/>
              <w:right w:w="0" w:type="dxa"/>
            </w:tcMar>
            <w:hideMark/>
          </w:tcPr>
          <w:p w14:paraId="23D78707"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4 237</w:t>
            </w:r>
          </w:p>
        </w:tc>
        <w:tc>
          <w:tcPr>
            <w:tcW w:w="1375" w:type="dxa"/>
            <w:tcMar>
              <w:top w:w="0" w:type="dxa"/>
              <w:left w:w="108" w:type="dxa"/>
              <w:bottom w:w="0" w:type="dxa"/>
              <w:right w:w="0" w:type="dxa"/>
            </w:tcMar>
            <w:hideMark/>
          </w:tcPr>
          <w:p w14:paraId="1E63DDC1"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423 700,00</w:t>
            </w:r>
          </w:p>
        </w:tc>
        <w:tc>
          <w:tcPr>
            <w:tcW w:w="1035" w:type="dxa"/>
            <w:tcMar>
              <w:top w:w="0" w:type="dxa"/>
              <w:left w:w="108" w:type="dxa"/>
              <w:bottom w:w="0" w:type="dxa"/>
              <w:right w:w="0" w:type="dxa"/>
            </w:tcMar>
            <w:hideMark/>
          </w:tcPr>
          <w:p w14:paraId="783EF027"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2,81%</w:t>
            </w:r>
          </w:p>
        </w:tc>
        <w:tc>
          <w:tcPr>
            <w:tcW w:w="850" w:type="dxa"/>
            <w:tcMar>
              <w:top w:w="0" w:type="dxa"/>
              <w:left w:w="108" w:type="dxa"/>
              <w:bottom w:w="0" w:type="dxa"/>
              <w:right w:w="108" w:type="dxa"/>
            </w:tcMar>
            <w:hideMark/>
          </w:tcPr>
          <w:p w14:paraId="21900D78"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100%</w:t>
            </w:r>
          </w:p>
        </w:tc>
      </w:tr>
      <w:tr w:rsidR="004577D2" w:rsidRPr="004577D2" w14:paraId="7F7F14A6" w14:textId="77777777" w:rsidTr="004577D2">
        <w:trPr>
          <w:tblCellSpacing w:w="0" w:type="dxa"/>
        </w:trPr>
        <w:tc>
          <w:tcPr>
            <w:tcW w:w="1696" w:type="dxa"/>
            <w:tcMar>
              <w:top w:w="0" w:type="dxa"/>
              <w:left w:w="108" w:type="dxa"/>
              <w:bottom w:w="0" w:type="dxa"/>
              <w:right w:w="0" w:type="dxa"/>
            </w:tcMar>
            <w:hideMark/>
          </w:tcPr>
          <w:p w14:paraId="6AB142E6" w14:textId="77777777" w:rsidR="004577D2" w:rsidRPr="004577D2" w:rsidRDefault="004577D2" w:rsidP="004577D2">
            <w:pPr>
              <w:spacing w:after="0" w:line="240" w:lineRule="auto"/>
              <w:ind w:right="68"/>
              <w:jc w:val="both"/>
              <w:rPr>
                <w:rFonts w:ascii="Times New Roman" w:eastAsia="Times New Roman" w:hAnsi="Times New Roman" w:cs="Times New Roman"/>
                <w:color w:val="000000"/>
                <w:sz w:val="20"/>
                <w:szCs w:val="20"/>
                <w:lang w:val="en-US" w:eastAsia="pl-PL"/>
              </w:rPr>
            </w:pPr>
            <w:r w:rsidRPr="004577D2">
              <w:rPr>
                <w:rFonts w:ascii="Times New Roman" w:eastAsia="Times New Roman" w:hAnsi="Times New Roman" w:cs="Times New Roman"/>
                <w:b/>
                <w:bCs/>
                <w:color w:val="000000"/>
                <w:sz w:val="20"/>
                <w:szCs w:val="20"/>
                <w:lang w:val="en-US" w:eastAsia="pl-PL"/>
              </w:rPr>
              <w:t>Obligacje PKN Orlen PKN1222 serii B</w:t>
            </w:r>
          </w:p>
        </w:tc>
        <w:tc>
          <w:tcPr>
            <w:tcW w:w="2126" w:type="dxa"/>
            <w:tcMar>
              <w:top w:w="0" w:type="dxa"/>
              <w:left w:w="108" w:type="dxa"/>
              <w:bottom w:w="0" w:type="dxa"/>
              <w:right w:w="0" w:type="dxa"/>
            </w:tcMar>
            <w:hideMark/>
          </w:tcPr>
          <w:p w14:paraId="2D605523"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Aktywa finansowe DDS</w:t>
            </w:r>
          </w:p>
        </w:tc>
        <w:tc>
          <w:tcPr>
            <w:tcW w:w="1417" w:type="dxa"/>
            <w:tcMar>
              <w:top w:w="0" w:type="dxa"/>
              <w:left w:w="108" w:type="dxa"/>
              <w:bottom w:w="0" w:type="dxa"/>
              <w:right w:w="0" w:type="dxa"/>
            </w:tcMar>
            <w:hideMark/>
          </w:tcPr>
          <w:p w14:paraId="63AEE28D"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08.12.2022r.</w:t>
            </w:r>
          </w:p>
        </w:tc>
        <w:tc>
          <w:tcPr>
            <w:tcW w:w="851" w:type="dxa"/>
            <w:tcMar>
              <w:top w:w="0" w:type="dxa"/>
              <w:left w:w="108" w:type="dxa"/>
              <w:bottom w:w="0" w:type="dxa"/>
              <w:right w:w="0" w:type="dxa"/>
            </w:tcMar>
            <w:hideMark/>
          </w:tcPr>
          <w:p w14:paraId="473615F6"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2 078</w:t>
            </w:r>
          </w:p>
        </w:tc>
        <w:tc>
          <w:tcPr>
            <w:tcW w:w="1375" w:type="dxa"/>
            <w:tcMar>
              <w:top w:w="0" w:type="dxa"/>
              <w:left w:w="108" w:type="dxa"/>
              <w:bottom w:w="0" w:type="dxa"/>
              <w:right w:w="0" w:type="dxa"/>
            </w:tcMar>
            <w:hideMark/>
          </w:tcPr>
          <w:p w14:paraId="00F556F0"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207 800,00</w:t>
            </w:r>
          </w:p>
        </w:tc>
        <w:tc>
          <w:tcPr>
            <w:tcW w:w="1035" w:type="dxa"/>
            <w:tcMar>
              <w:top w:w="0" w:type="dxa"/>
              <w:left w:w="108" w:type="dxa"/>
              <w:bottom w:w="0" w:type="dxa"/>
              <w:right w:w="0" w:type="dxa"/>
            </w:tcMar>
            <w:hideMark/>
          </w:tcPr>
          <w:p w14:paraId="5F14DD1F"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2,81%</w:t>
            </w:r>
          </w:p>
        </w:tc>
        <w:tc>
          <w:tcPr>
            <w:tcW w:w="850" w:type="dxa"/>
            <w:tcMar>
              <w:top w:w="0" w:type="dxa"/>
              <w:left w:w="108" w:type="dxa"/>
              <w:bottom w:w="0" w:type="dxa"/>
              <w:right w:w="108" w:type="dxa"/>
            </w:tcMar>
            <w:hideMark/>
          </w:tcPr>
          <w:p w14:paraId="3E73E759"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100%</w:t>
            </w:r>
          </w:p>
        </w:tc>
      </w:tr>
      <w:tr w:rsidR="004577D2" w:rsidRPr="004577D2" w14:paraId="6644A1C7" w14:textId="77777777" w:rsidTr="004577D2">
        <w:trPr>
          <w:tblCellSpacing w:w="0" w:type="dxa"/>
        </w:trPr>
        <w:tc>
          <w:tcPr>
            <w:tcW w:w="1696" w:type="dxa"/>
            <w:tcMar>
              <w:top w:w="0" w:type="dxa"/>
              <w:left w:w="108" w:type="dxa"/>
              <w:bottom w:w="0" w:type="dxa"/>
              <w:right w:w="0" w:type="dxa"/>
            </w:tcMar>
            <w:hideMark/>
          </w:tcPr>
          <w:p w14:paraId="494823E8" w14:textId="77777777" w:rsidR="004577D2" w:rsidRPr="004577D2" w:rsidRDefault="004577D2" w:rsidP="004577D2">
            <w:pPr>
              <w:spacing w:after="0" w:line="240" w:lineRule="auto"/>
              <w:ind w:right="68"/>
              <w:jc w:val="both"/>
              <w:rPr>
                <w:rFonts w:ascii="Times New Roman" w:eastAsia="Times New Roman" w:hAnsi="Times New Roman" w:cs="Times New Roman"/>
                <w:color w:val="000000"/>
                <w:sz w:val="20"/>
                <w:szCs w:val="20"/>
                <w:lang w:val="en-US" w:eastAsia="pl-PL"/>
              </w:rPr>
            </w:pPr>
            <w:r w:rsidRPr="004577D2">
              <w:rPr>
                <w:rFonts w:ascii="Times New Roman" w:eastAsia="Times New Roman" w:hAnsi="Times New Roman" w:cs="Times New Roman"/>
                <w:b/>
                <w:bCs/>
                <w:color w:val="000000"/>
                <w:sz w:val="20"/>
                <w:szCs w:val="20"/>
                <w:lang w:val="en-US" w:eastAsia="pl-PL"/>
              </w:rPr>
              <w:t>Obligacje Alior Bank ALR1025</w:t>
            </w:r>
          </w:p>
        </w:tc>
        <w:tc>
          <w:tcPr>
            <w:tcW w:w="2126" w:type="dxa"/>
            <w:tcMar>
              <w:top w:w="0" w:type="dxa"/>
              <w:left w:w="108" w:type="dxa"/>
              <w:bottom w:w="0" w:type="dxa"/>
              <w:right w:w="0" w:type="dxa"/>
            </w:tcMar>
            <w:hideMark/>
          </w:tcPr>
          <w:p w14:paraId="6F966201"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Aktywa finansowe DDS</w:t>
            </w:r>
          </w:p>
        </w:tc>
        <w:tc>
          <w:tcPr>
            <w:tcW w:w="1417" w:type="dxa"/>
            <w:tcMar>
              <w:top w:w="0" w:type="dxa"/>
              <w:left w:w="108" w:type="dxa"/>
              <w:bottom w:w="0" w:type="dxa"/>
              <w:right w:w="0" w:type="dxa"/>
            </w:tcMar>
            <w:hideMark/>
          </w:tcPr>
          <w:p w14:paraId="773AC1B0"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20.10.2025r.</w:t>
            </w:r>
          </w:p>
        </w:tc>
        <w:tc>
          <w:tcPr>
            <w:tcW w:w="851" w:type="dxa"/>
            <w:tcMar>
              <w:top w:w="0" w:type="dxa"/>
              <w:left w:w="108" w:type="dxa"/>
              <w:bottom w:w="0" w:type="dxa"/>
              <w:right w:w="0" w:type="dxa"/>
            </w:tcMar>
            <w:hideMark/>
          </w:tcPr>
          <w:p w14:paraId="24256A8F"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810</w:t>
            </w:r>
          </w:p>
        </w:tc>
        <w:tc>
          <w:tcPr>
            <w:tcW w:w="1375" w:type="dxa"/>
            <w:tcMar>
              <w:top w:w="0" w:type="dxa"/>
              <w:left w:w="108" w:type="dxa"/>
              <w:bottom w:w="0" w:type="dxa"/>
              <w:right w:w="0" w:type="dxa"/>
            </w:tcMar>
            <w:hideMark/>
          </w:tcPr>
          <w:p w14:paraId="4A75BFE6"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810 000,00</w:t>
            </w:r>
          </w:p>
        </w:tc>
        <w:tc>
          <w:tcPr>
            <w:tcW w:w="1035" w:type="dxa"/>
            <w:tcMar>
              <w:top w:w="0" w:type="dxa"/>
              <w:left w:w="108" w:type="dxa"/>
              <w:bottom w:w="0" w:type="dxa"/>
              <w:right w:w="0" w:type="dxa"/>
            </w:tcMar>
            <w:hideMark/>
          </w:tcPr>
          <w:p w14:paraId="224FAD21"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4,49%</w:t>
            </w:r>
          </w:p>
        </w:tc>
        <w:tc>
          <w:tcPr>
            <w:tcW w:w="850" w:type="dxa"/>
            <w:tcMar>
              <w:top w:w="0" w:type="dxa"/>
              <w:left w:w="108" w:type="dxa"/>
              <w:bottom w:w="0" w:type="dxa"/>
              <w:right w:w="108" w:type="dxa"/>
            </w:tcMar>
            <w:hideMark/>
          </w:tcPr>
          <w:p w14:paraId="65B184E8"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100%</w:t>
            </w:r>
          </w:p>
        </w:tc>
      </w:tr>
      <w:tr w:rsidR="004577D2" w:rsidRPr="004577D2" w14:paraId="237893F6" w14:textId="77777777" w:rsidTr="004577D2">
        <w:trPr>
          <w:tblCellSpacing w:w="0" w:type="dxa"/>
        </w:trPr>
        <w:tc>
          <w:tcPr>
            <w:tcW w:w="1696" w:type="dxa"/>
            <w:tcMar>
              <w:top w:w="0" w:type="dxa"/>
              <w:left w:w="108" w:type="dxa"/>
              <w:bottom w:w="0" w:type="dxa"/>
              <w:right w:w="0" w:type="dxa"/>
            </w:tcMar>
            <w:hideMark/>
          </w:tcPr>
          <w:p w14:paraId="71FF45E7" w14:textId="77777777" w:rsidR="004577D2" w:rsidRPr="004577D2" w:rsidRDefault="004577D2" w:rsidP="004577D2">
            <w:pPr>
              <w:spacing w:after="0" w:line="240" w:lineRule="auto"/>
              <w:ind w:right="68"/>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b/>
                <w:bCs/>
                <w:color w:val="000000"/>
                <w:sz w:val="20"/>
                <w:szCs w:val="20"/>
                <w:lang w:eastAsia="pl-PL"/>
              </w:rPr>
              <w:t>Bony pieniężne</w:t>
            </w:r>
          </w:p>
        </w:tc>
        <w:tc>
          <w:tcPr>
            <w:tcW w:w="2126" w:type="dxa"/>
            <w:tcMar>
              <w:top w:w="0" w:type="dxa"/>
              <w:left w:w="108" w:type="dxa"/>
              <w:bottom w:w="0" w:type="dxa"/>
              <w:right w:w="0" w:type="dxa"/>
            </w:tcMar>
            <w:hideMark/>
          </w:tcPr>
          <w:p w14:paraId="69299D5C"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Aktywa finansowe UTZ</w:t>
            </w:r>
          </w:p>
        </w:tc>
        <w:tc>
          <w:tcPr>
            <w:tcW w:w="1417" w:type="dxa"/>
            <w:tcMar>
              <w:top w:w="0" w:type="dxa"/>
              <w:left w:w="108" w:type="dxa"/>
              <w:bottom w:w="0" w:type="dxa"/>
              <w:right w:w="0" w:type="dxa"/>
            </w:tcMar>
            <w:hideMark/>
          </w:tcPr>
          <w:p w14:paraId="7C86C8BB"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03.01.2020r.</w:t>
            </w:r>
          </w:p>
        </w:tc>
        <w:tc>
          <w:tcPr>
            <w:tcW w:w="851" w:type="dxa"/>
            <w:tcMar>
              <w:top w:w="0" w:type="dxa"/>
              <w:left w:w="108" w:type="dxa"/>
              <w:bottom w:w="0" w:type="dxa"/>
              <w:right w:w="0" w:type="dxa"/>
            </w:tcMar>
            <w:hideMark/>
          </w:tcPr>
          <w:p w14:paraId="59CFA6DE"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2 190</w:t>
            </w:r>
          </w:p>
        </w:tc>
        <w:tc>
          <w:tcPr>
            <w:tcW w:w="1375" w:type="dxa"/>
            <w:tcMar>
              <w:top w:w="0" w:type="dxa"/>
              <w:left w:w="108" w:type="dxa"/>
              <w:bottom w:w="0" w:type="dxa"/>
              <w:right w:w="0" w:type="dxa"/>
            </w:tcMar>
            <w:hideMark/>
          </w:tcPr>
          <w:p w14:paraId="0E417316" w14:textId="77777777" w:rsidR="004577D2" w:rsidRPr="004577D2" w:rsidRDefault="004577D2" w:rsidP="004577D2">
            <w:pPr>
              <w:spacing w:after="0" w:line="240" w:lineRule="auto"/>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21 900 000,00</w:t>
            </w:r>
          </w:p>
        </w:tc>
        <w:tc>
          <w:tcPr>
            <w:tcW w:w="1035" w:type="dxa"/>
            <w:tcMar>
              <w:top w:w="0" w:type="dxa"/>
              <w:left w:w="108" w:type="dxa"/>
              <w:bottom w:w="0" w:type="dxa"/>
              <w:right w:w="0" w:type="dxa"/>
            </w:tcMar>
            <w:hideMark/>
          </w:tcPr>
          <w:p w14:paraId="7FE8BDB3"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1,50%</w:t>
            </w:r>
          </w:p>
        </w:tc>
        <w:tc>
          <w:tcPr>
            <w:tcW w:w="850" w:type="dxa"/>
            <w:tcMar>
              <w:top w:w="0" w:type="dxa"/>
              <w:left w:w="108" w:type="dxa"/>
              <w:bottom w:w="0" w:type="dxa"/>
              <w:right w:w="108" w:type="dxa"/>
            </w:tcMar>
            <w:hideMark/>
          </w:tcPr>
          <w:p w14:paraId="1EC26A66" w14:textId="77777777" w:rsidR="004577D2" w:rsidRPr="004577D2" w:rsidRDefault="004577D2" w:rsidP="004577D2">
            <w:pPr>
              <w:spacing w:after="0" w:line="240" w:lineRule="auto"/>
              <w:ind w:right="34"/>
              <w:jc w:val="both"/>
              <w:rPr>
                <w:rFonts w:ascii="Times New Roman" w:eastAsia="Times New Roman" w:hAnsi="Times New Roman" w:cs="Times New Roman"/>
                <w:color w:val="000000"/>
                <w:sz w:val="20"/>
                <w:szCs w:val="20"/>
                <w:lang w:eastAsia="pl-PL"/>
              </w:rPr>
            </w:pPr>
            <w:r w:rsidRPr="004577D2">
              <w:rPr>
                <w:rFonts w:ascii="Times New Roman" w:eastAsia="Times New Roman" w:hAnsi="Times New Roman" w:cs="Times New Roman"/>
                <w:color w:val="000000"/>
                <w:sz w:val="20"/>
                <w:szCs w:val="20"/>
                <w:lang w:eastAsia="pl-PL"/>
              </w:rPr>
              <w:t>0%</w:t>
            </w:r>
          </w:p>
        </w:tc>
      </w:tr>
    </w:tbl>
    <w:p w14:paraId="072B54F1" w14:textId="77777777" w:rsidR="004577D2" w:rsidRPr="004577D2" w:rsidRDefault="004577D2" w:rsidP="004577D2">
      <w:pPr>
        <w:spacing w:after="198" w:line="240" w:lineRule="auto"/>
        <w:jc w:val="both"/>
        <w:rPr>
          <w:rFonts w:ascii="Times New Roman" w:eastAsia="Times New Roman" w:hAnsi="Times New Roman" w:cs="Times New Roman"/>
          <w:color w:val="000000"/>
          <w:sz w:val="24"/>
          <w:szCs w:val="24"/>
          <w:lang w:eastAsia="pl-PL"/>
        </w:rPr>
      </w:pPr>
      <w:r w:rsidRPr="004577D2">
        <w:rPr>
          <w:rFonts w:ascii="Times New Roman" w:eastAsia="Times New Roman" w:hAnsi="Times New Roman" w:cs="Times New Roman"/>
          <w:b/>
          <w:bCs/>
          <w:color w:val="000000"/>
          <w:sz w:val="18"/>
          <w:szCs w:val="18"/>
          <w:lang w:eastAsia="pl-PL"/>
        </w:rPr>
        <w:t>*</w:t>
      </w:r>
      <w:r w:rsidRPr="004577D2">
        <w:rPr>
          <w:rFonts w:ascii="Times New Roman" w:eastAsia="Times New Roman" w:hAnsi="Times New Roman" w:cs="Times New Roman"/>
          <w:color w:val="000000"/>
          <w:sz w:val="18"/>
          <w:szCs w:val="18"/>
          <w:lang w:eastAsia="pl-PL"/>
        </w:rPr>
        <w:t xml:space="preserve"> - 10% FW po wadze ryzyka 100%, pozostała wartość, która jest odliczana od kapitału TIER1 z wagą ryzyka 0%.</w:t>
      </w:r>
    </w:p>
    <w:p w14:paraId="209274BC" w14:textId="1ECE07C0" w:rsidR="00FD6016" w:rsidRPr="00B72873" w:rsidRDefault="00F35889" w:rsidP="00AD7AF8">
      <w:pPr>
        <w:spacing w:line="240" w:lineRule="auto"/>
        <w:jc w:val="both"/>
        <w:rPr>
          <w:rFonts w:ascii="Times New Roman" w:hAnsi="Times New Roman" w:cs="Times New Roman"/>
        </w:rPr>
      </w:pPr>
      <w:r w:rsidRPr="00B72873">
        <w:rPr>
          <w:rFonts w:ascii="Times New Roman" w:hAnsi="Times New Roman" w:cs="Times New Roman"/>
        </w:rPr>
        <w:t xml:space="preserve">Zaangażowanie Banku w obligacje BPS SA oraz Alior Bank przekraczające 10% FW pomniejsza wartość kapitałów i </w:t>
      </w:r>
      <w:r w:rsidR="00FD6016" w:rsidRPr="00B72873">
        <w:rPr>
          <w:rFonts w:ascii="Times New Roman" w:hAnsi="Times New Roman" w:cs="Times New Roman"/>
        </w:rPr>
        <w:t>na dzień 31.12.201</w:t>
      </w:r>
      <w:r w:rsidR="004577D2" w:rsidRPr="00B72873">
        <w:rPr>
          <w:rFonts w:ascii="Times New Roman" w:hAnsi="Times New Roman" w:cs="Times New Roman"/>
        </w:rPr>
        <w:t>9</w:t>
      </w:r>
      <w:r w:rsidR="00FD6016" w:rsidRPr="00B72873">
        <w:rPr>
          <w:rFonts w:ascii="Times New Roman" w:hAnsi="Times New Roman" w:cs="Times New Roman"/>
        </w:rPr>
        <w:t xml:space="preserve">r. </w:t>
      </w:r>
      <w:r w:rsidRPr="00B72873">
        <w:rPr>
          <w:rFonts w:ascii="Times New Roman" w:hAnsi="Times New Roman" w:cs="Times New Roman"/>
        </w:rPr>
        <w:t>wyniosło</w:t>
      </w:r>
      <w:r w:rsidR="00FD6016" w:rsidRPr="00B72873">
        <w:rPr>
          <w:rFonts w:ascii="Times New Roman" w:hAnsi="Times New Roman" w:cs="Times New Roman"/>
        </w:rPr>
        <w:t xml:space="preserve"> – </w:t>
      </w:r>
      <w:r w:rsidRPr="00B72873">
        <w:rPr>
          <w:rFonts w:ascii="Times New Roman" w:hAnsi="Times New Roman" w:cs="Times New Roman"/>
        </w:rPr>
        <w:t xml:space="preserve">3 590 tyś zł. </w:t>
      </w:r>
    </w:p>
    <w:p w14:paraId="24665E9F" w14:textId="77777777" w:rsidR="004577D2" w:rsidRPr="00AD7AF8" w:rsidRDefault="004577D2" w:rsidP="00AD7AF8">
      <w:pPr>
        <w:spacing w:line="240" w:lineRule="auto"/>
        <w:jc w:val="both"/>
        <w:rPr>
          <w:rFonts w:ascii="Times New Roman" w:hAnsi="Times New Roman" w:cs="Times New Roman"/>
          <w:b/>
        </w:rPr>
      </w:pPr>
    </w:p>
    <w:p w14:paraId="4B1479B4" w14:textId="77777777" w:rsidR="00E57F84" w:rsidRDefault="00A1711E" w:rsidP="00AD7AF8">
      <w:pPr>
        <w:spacing w:line="240" w:lineRule="auto"/>
        <w:jc w:val="both"/>
        <w:rPr>
          <w:rFonts w:ascii="Times New Roman" w:hAnsi="Times New Roman" w:cs="Times New Roman"/>
          <w:b/>
        </w:rPr>
      </w:pPr>
      <w:r w:rsidRPr="00AD7AF8">
        <w:rPr>
          <w:rFonts w:ascii="Times New Roman" w:hAnsi="Times New Roman" w:cs="Times New Roman"/>
          <w:b/>
        </w:rPr>
        <w:t>XI</w:t>
      </w:r>
      <w:r w:rsidR="009B6591">
        <w:rPr>
          <w:rFonts w:ascii="Times New Roman" w:hAnsi="Times New Roman" w:cs="Times New Roman"/>
          <w:b/>
        </w:rPr>
        <w:t>I</w:t>
      </w:r>
      <w:r w:rsidR="00E82E68">
        <w:rPr>
          <w:rFonts w:ascii="Times New Roman" w:hAnsi="Times New Roman" w:cs="Times New Roman"/>
          <w:b/>
        </w:rPr>
        <w:t>.</w:t>
      </w:r>
      <w:r w:rsidRPr="00AD7AF8">
        <w:rPr>
          <w:rFonts w:ascii="Times New Roman" w:hAnsi="Times New Roman" w:cs="Times New Roman"/>
          <w:b/>
        </w:rPr>
        <w:t xml:space="preserve"> RYZYKO STOPY PROCENTOWEJ DLA POZYCJI ZAKWALIFIKOWANYCH DO PORTFELA BANKOWEGO</w:t>
      </w:r>
    </w:p>
    <w:p w14:paraId="6B8DBA97" w14:textId="6CBBE9B0" w:rsidR="00461D5D" w:rsidRPr="007902AA" w:rsidRDefault="00A1711E" w:rsidP="009A6274">
      <w:pPr>
        <w:pStyle w:val="Akapitzlist"/>
        <w:numPr>
          <w:ilvl w:val="0"/>
          <w:numId w:val="19"/>
        </w:numPr>
        <w:spacing w:line="240" w:lineRule="auto"/>
        <w:ind w:left="0" w:hanging="283"/>
        <w:jc w:val="both"/>
        <w:rPr>
          <w:rFonts w:ascii="Times New Roman" w:hAnsi="Times New Roman" w:cs="Times New Roman"/>
        </w:rPr>
      </w:pPr>
      <w:r w:rsidRPr="007902AA">
        <w:rPr>
          <w:rFonts w:ascii="Times New Roman" w:hAnsi="Times New Roman" w:cs="Times New Roman"/>
          <w:b/>
        </w:rPr>
        <w:t>Informacje jakościowe</w:t>
      </w:r>
      <w:r w:rsidR="007902AA">
        <w:rPr>
          <w:rFonts w:ascii="Times New Roman" w:hAnsi="Times New Roman" w:cs="Times New Roman"/>
          <w:b/>
        </w:rPr>
        <w:t xml:space="preserve">- </w:t>
      </w:r>
      <w:r w:rsidR="00461D5D" w:rsidRPr="007902AA">
        <w:rPr>
          <w:rFonts w:ascii="Times New Roman" w:hAnsi="Times New Roman" w:cs="Times New Roman"/>
        </w:rPr>
        <w:t>Podstawowym celem zarządzania ryzykiem stopy procentowej jest identyfikacja poszczególnych rodzajów tego ryzyka w celu ograniczenia negatywnego wpływu zmian stóp procentowych na wynik finansowy i fundusze własne Banku</w:t>
      </w:r>
      <w:r w:rsidR="00B37147" w:rsidRPr="007902AA">
        <w:rPr>
          <w:rFonts w:ascii="Times New Roman" w:hAnsi="Times New Roman" w:cs="Times New Roman"/>
        </w:rPr>
        <w:t xml:space="preserve">. Profil ryzyka stopy procentowej określa możliwe do zaakceptowania przez Bank narażenie na ryzyko stopy procentowej, w zakresie niżej wymienionych </w:t>
      </w:r>
      <w:r w:rsidR="00F35889">
        <w:rPr>
          <w:rFonts w:ascii="Times New Roman" w:hAnsi="Times New Roman" w:cs="Times New Roman"/>
        </w:rPr>
        <w:t>jego</w:t>
      </w:r>
      <w:r w:rsidR="00B37147" w:rsidRPr="007902AA">
        <w:rPr>
          <w:rFonts w:ascii="Times New Roman" w:hAnsi="Times New Roman" w:cs="Times New Roman"/>
        </w:rPr>
        <w:t xml:space="preserve"> rodzajów:</w:t>
      </w:r>
    </w:p>
    <w:p w14:paraId="373C28A5" w14:textId="2EC5DE39" w:rsidR="00B37147" w:rsidRPr="00AD7AF8" w:rsidRDefault="00B37147" w:rsidP="009A6274">
      <w:pPr>
        <w:pStyle w:val="Akapitzlist"/>
        <w:numPr>
          <w:ilvl w:val="0"/>
          <w:numId w:val="9"/>
        </w:numPr>
        <w:spacing w:line="240" w:lineRule="auto"/>
        <w:ind w:left="567"/>
        <w:jc w:val="both"/>
        <w:rPr>
          <w:rFonts w:ascii="Times New Roman" w:hAnsi="Times New Roman" w:cs="Times New Roman"/>
        </w:rPr>
      </w:pPr>
      <w:r w:rsidRPr="00AD7AF8">
        <w:rPr>
          <w:rFonts w:ascii="Times New Roman" w:hAnsi="Times New Roman" w:cs="Times New Roman"/>
        </w:rPr>
        <w:t>ryzyko niedopaso</w:t>
      </w:r>
      <w:r w:rsidR="00140307">
        <w:rPr>
          <w:rFonts w:ascii="Times New Roman" w:hAnsi="Times New Roman" w:cs="Times New Roman"/>
        </w:rPr>
        <w:t>wania terminów przeszacowania</w:t>
      </w:r>
    </w:p>
    <w:p w14:paraId="19F00A1A" w14:textId="77EAF88F" w:rsidR="00B37147" w:rsidRPr="00AD7AF8" w:rsidRDefault="00B37147" w:rsidP="009A6274">
      <w:pPr>
        <w:pStyle w:val="Akapitzlist"/>
        <w:numPr>
          <w:ilvl w:val="0"/>
          <w:numId w:val="9"/>
        </w:numPr>
        <w:spacing w:line="240" w:lineRule="auto"/>
        <w:ind w:left="567"/>
        <w:jc w:val="both"/>
        <w:rPr>
          <w:rFonts w:ascii="Times New Roman" w:hAnsi="Times New Roman" w:cs="Times New Roman"/>
        </w:rPr>
      </w:pPr>
      <w:r w:rsidRPr="00AD7AF8">
        <w:rPr>
          <w:rFonts w:ascii="Times New Roman" w:hAnsi="Times New Roman" w:cs="Times New Roman"/>
        </w:rPr>
        <w:t xml:space="preserve">ryzyka bazowego </w:t>
      </w:r>
    </w:p>
    <w:p w14:paraId="28C037DA" w14:textId="0C4E8D93" w:rsidR="00B37147" w:rsidRPr="00AD7AF8" w:rsidRDefault="00B37147" w:rsidP="009A6274">
      <w:pPr>
        <w:pStyle w:val="Akapitzlist"/>
        <w:numPr>
          <w:ilvl w:val="0"/>
          <w:numId w:val="9"/>
        </w:numPr>
        <w:spacing w:line="240" w:lineRule="auto"/>
        <w:ind w:left="567"/>
        <w:jc w:val="both"/>
        <w:rPr>
          <w:rFonts w:ascii="Times New Roman" w:hAnsi="Times New Roman" w:cs="Times New Roman"/>
        </w:rPr>
      </w:pPr>
      <w:r w:rsidRPr="00AD7AF8">
        <w:rPr>
          <w:rFonts w:ascii="Times New Roman" w:hAnsi="Times New Roman" w:cs="Times New Roman"/>
        </w:rPr>
        <w:t xml:space="preserve">ryzyko opcji klienta </w:t>
      </w:r>
    </w:p>
    <w:p w14:paraId="712B66B5" w14:textId="75B92A37" w:rsidR="00B37147" w:rsidRPr="00AD7AF8" w:rsidRDefault="00B37147" w:rsidP="009A6274">
      <w:pPr>
        <w:pStyle w:val="Akapitzlist"/>
        <w:numPr>
          <w:ilvl w:val="0"/>
          <w:numId w:val="9"/>
        </w:numPr>
        <w:spacing w:line="240" w:lineRule="auto"/>
        <w:ind w:left="567"/>
        <w:jc w:val="both"/>
        <w:rPr>
          <w:rFonts w:ascii="Times New Roman" w:hAnsi="Times New Roman" w:cs="Times New Roman"/>
        </w:rPr>
      </w:pPr>
      <w:r w:rsidRPr="00AD7AF8">
        <w:rPr>
          <w:rFonts w:ascii="Times New Roman" w:hAnsi="Times New Roman" w:cs="Times New Roman"/>
        </w:rPr>
        <w:t>ryzyko k</w:t>
      </w:r>
      <w:r w:rsidR="00140307">
        <w:rPr>
          <w:rFonts w:ascii="Times New Roman" w:hAnsi="Times New Roman" w:cs="Times New Roman"/>
        </w:rPr>
        <w:t xml:space="preserve">rzywej dochodowości </w:t>
      </w:r>
    </w:p>
    <w:p w14:paraId="7A645210" w14:textId="77777777" w:rsidR="00140307" w:rsidRPr="0065155E" w:rsidRDefault="00140307" w:rsidP="00140307">
      <w:pPr>
        <w:spacing w:after="0"/>
        <w:jc w:val="both"/>
        <w:rPr>
          <w:rFonts w:ascii="Times New Roman" w:hAnsi="Times New Roman" w:cs="Times New Roman"/>
          <w:sz w:val="20"/>
        </w:rPr>
      </w:pPr>
      <w:r w:rsidRPr="0065155E">
        <w:rPr>
          <w:rFonts w:ascii="Times New Roman" w:hAnsi="Times New Roman" w:cs="Times New Roman"/>
          <w:sz w:val="20"/>
        </w:rPr>
        <w:t>Do pomiaru Bank Spółdzielczy w Podegrodziu wykorzystuje następujące metody:</w:t>
      </w:r>
    </w:p>
    <w:p w14:paraId="75AD1809" w14:textId="77777777" w:rsidR="00140307" w:rsidRPr="0065155E" w:rsidRDefault="00140307" w:rsidP="00140307">
      <w:pPr>
        <w:pStyle w:val="Akapitzlist"/>
        <w:numPr>
          <w:ilvl w:val="0"/>
          <w:numId w:val="42"/>
        </w:numPr>
        <w:spacing w:after="120"/>
        <w:jc w:val="both"/>
        <w:rPr>
          <w:rFonts w:ascii="Times New Roman" w:hAnsi="Times New Roman" w:cs="Times New Roman"/>
          <w:sz w:val="20"/>
        </w:rPr>
      </w:pPr>
      <w:r w:rsidRPr="0065155E">
        <w:rPr>
          <w:rFonts w:ascii="Times New Roman" w:hAnsi="Times New Roman" w:cs="Times New Roman"/>
          <w:sz w:val="20"/>
        </w:rPr>
        <w:t>luka niedopasowania,</w:t>
      </w:r>
    </w:p>
    <w:p w14:paraId="0C800496" w14:textId="77777777" w:rsidR="00140307" w:rsidRPr="0065155E" w:rsidRDefault="00140307" w:rsidP="00140307">
      <w:pPr>
        <w:pStyle w:val="Akapitzlist"/>
        <w:numPr>
          <w:ilvl w:val="0"/>
          <w:numId w:val="42"/>
        </w:numPr>
        <w:spacing w:after="120"/>
        <w:jc w:val="both"/>
        <w:rPr>
          <w:rFonts w:ascii="Times New Roman" w:hAnsi="Times New Roman" w:cs="Times New Roman"/>
          <w:sz w:val="20"/>
        </w:rPr>
      </w:pPr>
      <w:r w:rsidRPr="0065155E">
        <w:rPr>
          <w:rFonts w:ascii="Times New Roman" w:hAnsi="Times New Roman" w:cs="Times New Roman"/>
          <w:sz w:val="20"/>
        </w:rPr>
        <w:t>metoda zmiany wyniku odsetkowego,</w:t>
      </w:r>
    </w:p>
    <w:p w14:paraId="263CB6F3" w14:textId="77777777" w:rsidR="00140307" w:rsidRDefault="00140307" w:rsidP="00140307">
      <w:pPr>
        <w:pStyle w:val="Akapitzlist"/>
        <w:numPr>
          <w:ilvl w:val="0"/>
          <w:numId w:val="42"/>
        </w:numPr>
        <w:spacing w:after="120"/>
        <w:jc w:val="both"/>
        <w:rPr>
          <w:rFonts w:ascii="Times New Roman" w:hAnsi="Times New Roman" w:cs="Times New Roman"/>
          <w:sz w:val="20"/>
        </w:rPr>
      </w:pPr>
      <w:r w:rsidRPr="0065155E">
        <w:rPr>
          <w:rFonts w:ascii="Times New Roman" w:hAnsi="Times New Roman" w:cs="Times New Roman"/>
          <w:sz w:val="20"/>
        </w:rPr>
        <w:t>miara wartości ekonomicznej kapitału.</w:t>
      </w:r>
    </w:p>
    <w:p w14:paraId="20B6DF3E" w14:textId="39EF12D4" w:rsidR="00A1711E" w:rsidRDefault="001B3C5F" w:rsidP="00140307">
      <w:pPr>
        <w:pStyle w:val="western"/>
        <w:spacing w:after="0"/>
        <w:jc w:val="both"/>
        <w:rPr>
          <w:rFonts w:ascii="Times New Roman" w:hAnsi="Times New Roman" w:cs="Times New Roman"/>
        </w:rPr>
      </w:pPr>
      <w:r w:rsidRPr="001B3C5F">
        <w:rPr>
          <w:rFonts w:ascii="Times New Roman" w:hAnsi="Times New Roman" w:cs="Times New Roman"/>
          <w:b/>
        </w:rPr>
        <w:t>Informacje ilościowe -</w:t>
      </w:r>
      <w:r>
        <w:rPr>
          <w:rFonts w:ascii="Times New Roman" w:hAnsi="Times New Roman" w:cs="Times New Roman"/>
        </w:rPr>
        <w:t xml:space="preserve"> </w:t>
      </w:r>
      <w:r w:rsidR="00F35889" w:rsidRPr="00F35889">
        <w:rPr>
          <w:rFonts w:ascii="Times New Roman" w:hAnsi="Times New Roman" w:cs="Times New Roman"/>
        </w:rPr>
        <w:t>Metoda zmiany wyniku odsetkowego, liczona przy pomocy luki syntetycznej, pozwala na oszacowanie zmian w wyniku odsetkowym dla pozycji o terminach przeszacowania do 12 miesięcy. Otrzymany wynik jest odnoszony do planowanego wyniku odsetkowego.</w:t>
      </w:r>
    </w:p>
    <w:tbl>
      <w:tblPr>
        <w:tblpPr w:leftFromText="141" w:rightFromText="141" w:vertAnchor="text" w:horzAnchor="margin" w:tblpY="327"/>
        <w:tblW w:w="9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480"/>
        <w:gridCol w:w="1142"/>
        <w:gridCol w:w="1136"/>
        <w:gridCol w:w="1134"/>
        <w:gridCol w:w="1276"/>
        <w:gridCol w:w="1275"/>
        <w:gridCol w:w="1134"/>
        <w:gridCol w:w="707"/>
      </w:tblGrid>
      <w:tr w:rsidR="00140307" w:rsidRPr="00013553" w14:paraId="54DFE3E7" w14:textId="77777777" w:rsidTr="00140307">
        <w:trPr>
          <w:trHeight w:val="525"/>
        </w:trPr>
        <w:tc>
          <w:tcPr>
            <w:tcW w:w="1480" w:type="dxa"/>
            <w:vAlign w:val="center"/>
          </w:tcPr>
          <w:p w14:paraId="05A2AE1C" w14:textId="77777777" w:rsidR="00140307" w:rsidRPr="00013553" w:rsidRDefault="00140307" w:rsidP="00140307">
            <w:pPr>
              <w:spacing w:after="0" w:line="240" w:lineRule="auto"/>
              <w:jc w:val="center"/>
              <w:rPr>
                <w:rFonts w:ascii="Times New Roman" w:eastAsia="Times New Roman" w:hAnsi="Times New Roman" w:cs="Times New Roman"/>
                <w:b/>
                <w:bCs/>
                <w:i/>
                <w:color w:val="000000"/>
                <w:sz w:val="12"/>
                <w:szCs w:val="12"/>
                <w:lang w:eastAsia="pl-PL"/>
              </w:rPr>
            </w:pPr>
            <w:bookmarkStart w:id="0" w:name="_Hlk526324963"/>
            <w:r w:rsidRPr="00013553">
              <w:rPr>
                <w:rFonts w:ascii="Times New Roman" w:eastAsia="Times New Roman" w:hAnsi="Times New Roman" w:cs="Times New Roman"/>
                <w:b/>
                <w:bCs/>
                <w:i/>
                <w:color w:val="000000"/>
                <w:sz w:val="12"/>
                <w:szCs w:val="12"/>
                <w:lang w:eastAsia="pl-PL"/>
              </w:rPr>
              <w:t>Okres</w:t>
            </w:r>
          </w:p>
        </w:tc>
        <w:tc>
          <w:tcPr>
            <w:tcW w:w="1142" w:type="dxa"/>
            <w:shd w:val="clear" w:color="auto" w:fill="auto"/>
            <w:vAlign w:val="center"/>
            <w:hideMark/>
          </w:tcPr>
          <w:p w14:paraId="4CFE0E3C"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Luka zdyskontowana+</w:t>
            </w:r>
          </w:p>
        </w:tc>
        <w:tc>
          <w:tcPr>
            <w:tcW w:w="1136" w:type="dxa"/>
            <w:shd w:val="clear" w:color="auto" w:fill="auto"/>
            <w:vAlign w:val="center"/>
            <w:hideMark/>
          </w:tcPr>
          <w:p w14:paraId="4974F820"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Luka zdyskontowana-</w:t>
            </w:r>
          </w:p>
        </w:tc>
        <w:tc>
          <w:tcPr>
            <w:tcW w:w="1134" w:type="dxa"/>
            <w:shd w:val="clear" w:color="auto" w:fill="auto"/>
            <w:vAlign w:val="center"/>
            <w:hideMark/>
          </w:tcPr>
          <w:p w14:paraId="275FC5C8"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 xml:space="preserve">Wpływ na wynik odsetkowy </w:t>
            </w:r>
          </w:p>
          <w:p w14:paraId="2033618D"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50pb +</w:t>
            </w:r>
          </w:p>
        </w:tc>
        <w:tc>
          <w:tcPr>
            <w:tcW w:w="1276" w:type="dxa"/>
            <w:shd w:val="clear" w:color="auto" w:fill="auto"/>
            <w:vAlign w:val="center"/>
            <w:hideMark/>
          </w:tcPr>
          <w:p w14:paraId="6E32142B"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 xml:space="preserve">Wpływ na wynik odsetkowy </w:t>
            </w:r>
          </w:p>
          <w:p w14:paraId="123CAD6F"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50pb -</w:t>
            </w:r>
          </w:p>
        </w:tc>
        <w:tc>
          <w:tcPr>
            <w:tcW w:w="1275" w:type="dxa"/>
            <w:shd w:val="clear" w:color="auto" w:fill="auto"/>
            <w:vAlign w:val="center"/>
            <w:hideMark/>
          </w:tcPr>
          <w:p w14:paraId="3CD63FE2"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 xml:space="preserve">Wpływ na wynik odsetkowy </w:t>
            </w:r>
          </w:p>
          <w:p w14:paraId="025DA2AA"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100pb +</w:t>
            </w:r>
          </w:p>
        </w:tc>
        <w:tc>
          <w:tcPr>
            <w:tcW w:w="1134" w:type="dxa"/>
            <w:shd w:val="clear" w:color="auto" w:fill="auto"/>
            <w:vAlign w:val="center"/>
            <w:hideMark/>
          </w:tcPr>
          <w:p w14:paraId="5D35F3E7"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 xml:space="preserve">Wpływ na wynik odsetkowy </w:t>
            </w:r>
          </w:p>
          <w:p w14:paraId="79DABBD5"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100pb -</w:t>
            </w:r>
          </w:p>
        </w:tc>
        <w:tc>
          <w:tcPr>
            <w:tcW w:w="707" w:type="dxa"/>
            <w:vAlign w:val="center"/>
          </w:tcPr>
          <w:p w14:paraId="5764E632" w14:textId="77777777" w:rsidR="00140307" w:rsidRPr="00013553" w:rsidRDefault="00140307" w:rsidP="00140307">
            <w:pPr>
              <w:spacing w:after="0" w:line="240" w:lineRule="auto"/>
              <w:jc w:val="center"/>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Limit</w:t>
            </w:r>
          </w:p>
        </w:tc>
      </w:tr>
      <w:tr w:rsidR="00140307" w:rsidRPr="00013553" w14:paraId="3FC2DDDA" w14:textId="77777777" w:rsidTr="00140307">
        <w:trPr>
          <w:trHeight w:val="227"/>
        </w:trPr>
        <w:tc>
          <w:tcPr>
            <w:tcW w:w="1480" w:type="dxa"/>
            <w:vAlign w:val="center"/>
          </w:tcPr>
          <w:p w14:paraId="2C3709A8"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do 1D</w:t>
            </w:r>
          </w:p>
        </w:tc>
        <w:tc>
          <w:tcPr>
            <w:tcW w:w="1142" w:type="dxa"/>
            <w:shd w:val="clear" w:color="auto" w:fill="auto"/>
            <w:noWrap/>
            <w:vAlign w:val="center"/>
            <w:hideMark/>
          </w:tcPr>
          <w:p w14:paraId="567A4BB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-2 899 375,29   </w:t>
            </w:r>
          </w:p>
        </w:tc>
        <w:tc>
          <w:tcPr>
            <w:tcW w:w="1136" w:type="dxa"/>
            <w:shd w:val="clear" w:color="auto" w:fill="auto"/>
            <w:noWrap/>
            <w:vAlign w:val="center"/>
            <w:hideMark/>
          </w:tcPr>
          <w:p w14:paraId="2CB7BBF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-2 855 130,61   </w:t>
            </w:r>
          </w:p>
        </w:tc>
        <w:tc>
          <w:tcPr>
            <w:tcW w:w="1134" w:type="dxa"/>
            <w:shd w:val="clear" w:color="auto" w:fill="auto"/>
            <w:noWrap/>
            <w:vAlign w:val="center"/>
            <w:hideMark/>
          </w:tcPr>
          <w:p w14:paraId="1FB1EE2F"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-14 457,16   </w:t>
            </w:r>
          </w:p>
        </w:tc>
        <w:tc>
          <w:tcPr>
            <w:tcW w:w="1276" w:type="dxa"/>
            <w:shd w:val="clear" w:color="auto" w:fill="auto"/>
            <w:noWrap/>
            <w:vAlign w:val="center"/>
            <w:hideMark/>
          </w:tcPr>
          <w:p w14:paraId="080B4E8E"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14 236,54   </w:t>
            </w:r>
          </w:p>
        </w:tc>
        <w:tc>
          <w:tcPr>
            <w:tcW w:w="1275" w:type="dxa"/>
            <w:shd w:val="clear" w:color="auto" w:fill="auto"/>
            <w:noWrap/>
            <w:vAlign w:val="center"/>
            <w:hideMark/>
          </w:tcPr>
          <w:p w14:paraId="34D14A0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-28 914,32   </w:t>
            </w:r>
          </w:p>
        </w:tc>
        <w:tc>
          <w:tcPr>
            <w:tcW w:w="1134" w:type="dxa"/>
            <w:shd w:val="clear" w:color="auto" w:fill="auto"/>
            <w:noWrap/>
            <w:vAlign w:val="center"/>
            <w:hideMark/>
          </w:tcPr>
          <w:p w14:paraId="5C1170A4"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28 473,08   </w:t>
            </w:r>
          </w:p>
        </w:tc>
        <w:tc>
          <w:tcPr>
            <w:tcW w:w="707" w:type="dxa"/>
            <w:vMerge w:val="restart"/>
            <w:vAlign w:val="center"/>
          </w:tcPr>
          <w:p w14:paraId="241B20B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1A0D18DE" w14:textId="77777777" w:rsidTr="00140307">
        <w:trPr>
          <w:trHeight w:val="227"/>
        </w:trPr>
        <w:tc>
          <w:tcPr>
            <w:tcW w:w="1480" w:type="dxa"/>
            <w:vAlign w:val="center"/>
          </w:tcPr>
          <w:p w14:paraId="31C5D813"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1D do 7D</w:t>
            </w:r>
          </w:p>
        </w:tc>
        <w:tc>
          <w:tcPr>
            <w:tcW w:w="1142" w:type="dxa"/>
            <w:shd w:val="clear" w:color="auto" w:fill="auto"/>
            <w:noWrap/>
            <w:vAlign w:val="center"/>
            <w:hideMark/>
          </w:tcPr>
          <w:p w14:paraId="0DFF2F9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35 994 500,69   </w:t>
            </w:r>
          </w:p>
        </w:tc>
        <w:tc>
          <w:tcPr>
            <w:tcW w:w="1136" w:type="dxa"/>
            <w:shd w:val="clear" w:color="auto" w:fill="auto"/>
            <w:noWrap/>
            <w:vAlign w:val="center"/>
            <w:hideMark/>
          </w:tcPr>
          <w:p w14:paraId="11D2644B"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35 994 500,69   </w:t>
            </w:r>
          </w:p>
        </w:tc>
        <w:tc>
          <w:tcPr>
            <w:tcW w:w="1134" w:type="dxa"/>
            <w:shd w:val="clear" w:color="auto" w:fill="auto"/>
            <w:noWrap/>
            <w:vAlign w:val="center"/>
            <w:hideMark/>
          </w:tcPr>
          <w:p w14:paraId="4F5E44F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178 000,20   </w:t>
            </w:r>
          </w:p>
        </w:tc>
        <w:tc>
          <w:tcPr>
            <w:tcW w:w="1276" w:type="dxa"/>
            <w:shd w:val="clear" w:color="auto" w:fill="auto"/>
            <w:noWrap/>
            <w:vAlign w:val="center"/>
            <w:hideMark/>
          </w:tcPr>
          <w:p w14:paraId="6E87DE7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-178 000,20   </w:t>
            </w:r>
          </w:p>
        </w:tc>
        <w:tc>
          <w:tcPr>
            <w:tcW w:w="1275" w:type="dxa"/>
            <w:shd w:val="clear" w:color="auto" w:fill="auto"/>
            <w:noWrap/>
            <w:vAlign w:val="center"/>
            <w:hideMark/>
          </w:tcPr>
          <w:p w14:paraId="6D6F54CC"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356 000,40   </w:t>
            </w:r>
          </w:p>
        </w:tc>
        <w:tc>
          <w:tcPr>
            <w:tcW w:w="1134" w:type="dxa"/>
            <w:shd w:val="clear" w:color="auto" w:fill="auto"/>
            <w:noWrap/>
            <w:vAlign w:val="center"/>
            <w:hideMark/>
          </w:tcPr>
          <w:p w14:paraId="63150BD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-356 000,40   </w:t>
            </w:r>
          </w:p>
        </w:tc>
        <w:tc>
          <w:tcPr>
            <w:tcW w:w="707" w:type="dxa"/>
            <w:vMerge/>
            <w:vAlign w:val="center"/>
          </w:tcPr>
          <w:p w14:paraId="39735EEA"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5FB66C2F" w14:textId="77777777" w:rsidTr="00140307">
        <w:trPr>
          <w:trHeight w:val="227"/>
        </w:trPr>
        <w:tc>
          <w:tcPr>
            <w:tcW w:w="1480" w:type="dxa"/>
            <w:vAlign w:val="center"/>
          </w:tcPr>
          <w:p w14:paraId="037FB8AC"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7D do 1M</w:t>
            </w:r>
          </w:p>
        </w:tc>
        <w:tc>
          <w:tcPr>
            <w:tcW w:w="1142" w:type="dxa"/>
            <w:shd w:val="clear" w:color="auto" w:fill="auto"/>
            <w:noWrap/>
            <w:vAlign w:val="center"/>
            <w:hideMark/>
          </w:tcPr>
          <w:p w14:paraId="55DC3E8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-30 441 127,64   </w:t>
            </w:r>
          </w:p>
        </w:tc>
        <w:tc>
          <w:tcPr>
            <w:tcW w:w="1136" w:type="dxa"/>
            <w:shd w:val="clear" w:color="auto" w:fill="auto"/>
            <w:noWrap/>
            <w:vAlign w:val="center"/>
            <w:hideMark/>
          </w:tcPr>
          <w:p w14:paraId="7D589D8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-30 446 732,16   </w:t>
            </w:r>
          </w:p>
        </w:tc>
        <w:tc>
          <w:tcPr>
            <w:tcW w:w="1134" w:type="dxa"/>
            <w:shd w:val="clear" w:color="auto" w:fill="auto"/>
            <w:noWrap/>
            <w:vAlign w:val="center"/>
            <w:hideMark/>
          </w:tcPr>
          <w:p w14:paraId="4BA0635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-144 282,60   </w:t>
            </w:r>
          </w:p>
        </w:tc>
        <w:tc>
          <w:tcPr>
            <w:tcW w:w="1276" w:type="dxa"/>
            <w:shd w:val="clear" w:color="auto" w:fill="auto"/>
            <w:noWrap/>
            <w:vAlign w:val="center"/>
            <w:hideMark/>
          </w:tcPr>
          <w:p w14:paraId="630FE10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144 309,17   </w:t>
            </w:r>
          </w:p>
        </w:tc>
        <w:tc>
          <w:tcPr>
            <w:tcW w:w="1275" w:type="dxa"/>
            <w:shd w:val="clear" w:color="auto" w:fill="auto"/>
            <w:noWrap/>
            <w:vAlign w:val="center"/>
            <w:hideMark/>
          </w:tcPr>
          <w:p w14:paraId="73390DB4"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-288 565,21   </w:t>
            </w:r>
          </w:p>
        </w:tc>
        <w:tc>
          <w:tcPr>
            <w:tcW w:w="1134" w:type="dxa"/>
            <w:shd w:val="clear" w:color="auto" w:fill="auto"/>
            <w:noWrap/>
            <w:vAlign w:val="center"/>
            <w:hideMark/>
          </w:tcPr>
          <w:p w14:paraId="6ECFA0C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288 618,34   </w:t>
            </w:r>
          </w:p>
        </w:tc>
        <w:tc>
          <w:tcPr>
            <w:tcW w:w="707" w:type="dxa"/>
            <w:vMerge/>
            <w:vAlign w:val="center"/>
          </w:tcPr>
          <w:p w14:paraId="2E5721BF"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20711752" w14:textId="77777777" w:rsidTr="00140307">
        <w:trPr>
          <w:trHeight w:val="227"/>
        </w:trPr>
        <w:tc>
          <w:tcPr>
            <w:tcW w:w="1480" w:type="dxa"/>
            <w:vAlign w:val="center"/>
          </w:tcPr>
          <w:p w14:paraId="74613212"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lastRenderedPageBreak/>
              <w:t>PLN od 1M do 3M</w:t>
            </w:r>
          </w:p>
        </w:tc>
        <w:tc>
          <w:tcPr>
            <w:tcW w:w="1142" w:type="dxa"/>
            <w:shd w:val="clear" w:color="auto" w:fill="auto"/>
            <w:noWrap/>
            <w:vAlign w:val="center"/>
            <w:hideMark/>
          </w:tcPr>
          <w:p w14:paraId="4FCAC510"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-2 062 043,93   </w:t>
            </w:r>
          </w:p>
        </w:tc>
        <w:tc>
          <w:tcPr>
            <w:tcW w:w="1136" w:type="dxa"/>
            <w:shd w:val="clear" w:color="auto" w:fill="auto"/>
            <w:noWrap/>
            <w:vAlign w:val="center"/>
            <w:hideMark/>
          </w:tcPr>
          <w:p w14:paraId="30F6DFA3"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-2 080 624,57   </w:t>
            </w:r>
          </w:p>
        </w:tc>
        <w:tc>
          <w:tcPr>
            <w:tcW w:w="1134" w:type="dxa"/>
            <w:shd w:val="clear" w:color="auto" w:fill="auto"/>
            <w:noWrap/>
            <w:vAlign w:val="center"/>
            <w:hideMark/>
          </w:tcPr>
          <w:p w14:paraId="09EE4E7A"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-8 587,14   </w:t>
            </w:r>
          </w:p>
        </w:tc>
        <w:tc>
          <w:tcPr>
            <w:tcW w:w="1276" w:type="dxa"/>
            <w:shd w:val="clear" w:color="auto" w:fill="auto"/>
            <w:noWrap/>
            <w:vAlign w:val="center"/>
            <w:hideMark/>
          </w:tcPr>
          <w:p w14:paraId="1645652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8 664,52   </w:t>
            </w:r>
          </w:p>
        </w:tc>
        <w:tc>
          <w:tcPr>
            <w:tcW w:w="1275" w:type="dxa"/>
            <w:shd w:val="clear" w:color="auto" w:fill="auto"/>
            <w:noWrap/>
            <w:vAlign w:val="center"/>
            <w:hideMark/>
          </w:tcPr>
          <w:p w14:paraId="7F456F6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-17 174,28   </w:t>
            </w:r>
          </w:p>
        </w:tc>
        <w:tc>
          <w:tcPr>
            <w:tcW w:w="1134" w:type="dxa"/>
            <w:shd w:val="clear" w:color="auto" w:fill="auto"/>
            <w:noWrap/>
            <w:vAlign w:val="center"/>
            <w:hideMark/>
          </w:tcPr>
          <w:p w14:paraId="25D019D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17 329,04   </w:t>
            </w:r>
          </w:p>
        </w:tc>
        <w:tc>
          <w:tcPr>
            <w:tcW w:w="707" w:type="dxa"/>
            <w:vMerge/>
            <w:vAlign w:val="center"/>
          </w:tcPr>
          <w:p w14:paraId="3B7C08F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78FEC781" w14:textId="77777777" w:rsidTr="00140307">
        <w:trPr>
          <w:trHeight w:val="227"/>
        </w:trPr>
        <w:tc>
          <w:tcPr>
            <w:tcW w:w="1480" w:type="dxa"/>
            <w:vAlign w:val="center"/>
          </w:tcPr>
          <w:p w14:paraId="2D98569E"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3M do 6M</w:t>
            </w:r>
          </w:p>
        </w:tc>
        <w:tc>
          <w:tcPr>
            <w:tcW w:w="1142" w:type="dxa"/>
            <w:shd w:val="clear" w:color="auto" w:fill="auto"/>
            <w:noWrap/>
            <w:vAlign w:val="center"/>
            <w:hideMark/>
          </w:tcPr>
          <w:p w14:paraId="483FBD3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6 550 210,46   </w:t>
            </w:r>
          </w:p>
        </w:tc>
        <w:tc>
          <w:tcPr>
            <w:tcW w:w="1136" w:type="dxa"/>
            <w:shd w:val="clear" w:color="auto" w:fill="auto"/>
            <w:noWrap/>
            <w:vAlign w:val="center"/>
            <w:hideMark/>
          </w:tcPr>
          <w:p w14:paraId="504AF4AB"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6 537 805,29   </w:t>
            </w:r>
          </w:p>
        </w:tc>
        <w:tc>
          <w:tcPr>
            <w:tcW w:w="1134" w:type="dxa"/>
            <w:shd w:val="clear" w:color="auto" w:fill="auto"/>
            <w:noWrap/>
            <w:vAlign w:val="center"/>
            <w:hideMark/>
          </w:tcPr>
          <w:p w14:paraId="6699307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20 458,19   </w:t>
            </w:r>
          </w:p>
        </w:tc>
        <w:tc>
          <w:tcPr>
            <w:tcW w:w="1276" w:type="dxa"/>
            <w:shd w:val="clear" w:color="auto" w:fill="auto"/>
            <w:noWrap/>
            <w:vAlign w:val="center"/>
            <w:hideMark/>
          </w:tcPr>
          <w:p w14:paraId="1DE5381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-20 419,45   </w:t>
            </w:r>
          </w:p>
        </w:tc>
        <w:tc>
          <w:tcPr>
            <w:tcW w:w="1275" w:type="dxa"/>
            <w:shd w:val="clear" w:color="auto" w:fill="auto"/>
            <w:noWrap/>
            <w:vAlign w:val="center"/>
            <w:hideMark/>
          </w:tcPr>
          <w:p w14:paraId="7DA5DC03"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40 916,38   </w:t>
            </w:r>
          </w:p>
        </w:tc>
        <w:tc>
          <w:tcPr>
            <w:tcW w:w="1134" w:type="dxa"/>
            <w:shd w:val="clear" w:color="auto" w:fill="auto"/>
            <w:noWrap/>
            <w:vAlign w:val="center"/>
            <w:hideMark/>
          </w:tcPr>
          <w:p w14:paraId="5EF6637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-40 838,89   </w:t>
            </w:r>
          </w:p>
        </w:tc>
        <w:tc>
          <w:tcPr>
            <w:tcW w:w="707" w:type="dxa"/>
            <w:vMerge/>
            <w:vAlign w:val="center"/>
          </w:tcPr>
          <w:p w14:paraId="2D538AC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031549E4" w14:textId="77777777" w:rsidTr="00140307">
        <w:trPr>
          <w:trHeight w:val="227"/>
        </w:trPr>
        <w:tc>
          <w:tcPr>
            <w:tcW w:w="1480" w:type="dxa"/>
            <w:vAlign w:val="center"/>
          </w:tcPr>
          <w:p w14:paraId="6138A54F"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6M do 9M</w:t>
            </w:r>
          </w:p>
        </w:tc>
        <w:tc>
          <w:tcPr>
            <w:tcW w:w="1142" w:type="dxa"/>
            <w:shd w:val="clear" w:color="auto" w:fill="auto"/>
            <w:noWrap/>
            <w:vAlign w:val="center"/>
            <w:hideMark/>
          </w:tcPr>
          <w:p w14:paraId="552AB4DE"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-144 186,63   </w:t>
            </w:r>
          </w:p>
        </w:tc>
        <w:tc>
          <w:tcPr>
            <w:tcW w:w="1136" w:type="dxa"/>
            <w:shd w:val="clear" w:color="auto" w:fill="auto"/>
            <w:noWrap/>
            <w:vAlign w:val="center"/>
            <w:hideMark/>
          </w:tcPr>
          <w:p w14:paraId="62699B70"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-151 630,96   </w:t>
            </w:r>
          </w:p>
        </w:tc>
        <w:tc>
          <w:tcPr>
            <w:tcW w:w="1134" w:type="dxa"/>
            <w:shd w:val="clear" w:color="auto" w:fill="auto"/>
            <w:noWrap/>
            <w:vAlign w:val="center"/>
            <w:hideMark/>
          </w:tcPr>
          <w:p w14:paraId="087CFC0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-270,60   </w:t>
            </w:r>
          </w:p>
        </w:tc>
        <w:tc>
          <w:tcPr>
            <w:tcW w:w="1276" w:type="dxa"/>
            <w:shd w:val="clear" w:color="auto" w:fill="auto"/>
            <w:noWrap/>
            <w:vAlign w:val="center"/>
            <w:hideMark/>
          </w:tcPr>
          <w:p w14:paraId="3DDD079C"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284,57   </w:t>
            </w:r>
          </w:p>
        </w:tc>
        <w:tc>
          <w:tcPr>
            <w:tcW w:w="1275" w:type="dxa"/>
            <w:shd w:val="clear" w:color="auto" w:fill="auto"/>
            <w:noWrap/>
            <w:vAlign w:val="center"/>
            <w:hideMark/>
          </w:tcPr>
          <w:p w14:paraId="6379C390"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-541,19   </w:t>
            </w:r>
          </w:p>
        </w:tc>
        <w:tc>
          <w:tcPr>
            <w:tcW w:w="1134" w:type="dxa"/>
            <w:shd w:val="clear" w:color="auto" w:fill="auto"/>
            <w:noWrap/>
            <w:vAlign w:val="center"/>
            <w:hideMark/>
          </w:tcPr>
          <w:p w14:paraId="515047A0"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569,14   </w:t>
            </w:r>
          </w:p>
        </w:tc>
        <w:tc>
          <w:tcPr>
            <w:tcW w:w="707" w:type="dxa"/>
            <w:vMerge/>
            <w:vAlign w:val="center"/>
          </w:tcPr>
          <w:p w14:paraId="0FD89693"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627471E0" w14:textId="77777777" w:rsidTr="00140307">
        <w:trPr>
          <w:trHeight w:val="227"/>
        </w:trPr>
        <w:tc>
          <w:tcPr>
            <w:tcW w:w="1480" w:type="dxa"/>
            <w:vAlign w:val="center"/>
          </w:tcPr>
          <w:p w14:paraId="62C0640D"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9M do 12M</w:t>
            </w:r>
          </w:p>
        </w:tc>
        <w:tc>
          <w:tcPr>
            <w:tcW w:w="1142" w:type="dxa"/>
            <w:shd w:val="clear" w:color="auto" w:fill="auto"/>
            <w:noWrap/>
            <w:vAlign w:val="center"/>
            <w:hideMark/>
          </w:tcPr>
          <w:p w14:paraId="09CB37B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-2 733,00   </w:t>
            </w:r>
          </w:p>
        </w:tc>
        <w:tc>
          <w:tcPr>
            <w:tcW w:w="1136" w:type="dxa"/>
            <w:shd w:val="clear" w:color="auto" w:fill="auto"/>
            <w:noWrap/>
            <w:vAlign w:val="center"/>
            <w:hideMark/>
          </w:tcPr>
          <w:p w14:paraId="5425550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-2 733,00   </w:t>
            </w:r>
          </w:p>
        </w:tc>
        <w:tc>
          <w:tcPr>
            <w:tcW w:w="1134" w:type="dxa"/>
            <w:shd w:val="clear" w:color="auto" w:fill="auto"/>
            <w:noWrap/>
            <w:vAlign w:val="center"/>
            <w:hideMark/>
          </w:tcPr>
          <w:p w14:paraId="373BB673"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-1,72   </w:t>
            </w:r>
          </w:p>
        </w:tc>
        <w:tc>
          <w:tcPr>
            <w:tcW w:w="1276" w:type="dxa"/>
            <w:shd w:val="clear" w:color="auto" w:fill="auto"/>
            <w:noWrap/>
            <w:vAlign w:val="center"/>
            <w:hideMark/>
          </w:tcPr>
          <w:p w14:paraId="08D3298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1,72   </w:t>
            </w:r>
          </w:p>
        </w:tc>
        <w:tc>
          <w:tcPr>
            <w:tcW w:w="1275" w:type="dxa"/>
            <w:shd w:val="clear" w:color="auto" w:fill="auto"/>
            <w:noWrap/>
            <w:vAlign w:val="center"/>
            <w:hideMark/>
          </w:tcPr>
          <w:p w14:paraId="27EBF78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-3,44   </w:t>
            </w:r>
          </w:p>
        </w:tc>
        <w:tc>
          <w:tcPr>
            <w:tcW w:w="1134" w:type="dxa"/>
            <w:shd w:val="clear" w:color="auto" w:fill="auto"/>
            <w:noWrap/>
            <w:vAlign w:val="center"/>
            <w:hideMark/>
          </w:tcPr>
          <w:p w14:paraId="2283E2B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3,44   </w:t>
            </w:r>
          </w:p>
        </w:tc>
        <w:tc>
          <w:tcPr>
            <w:tcW w:w="707" w:type="dxa"/>
            <w:vMerge/>
            <w:vAlign w:val="center"/>
          </w:tcPr>
          <w:p w14:paraId="389C6250"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74BF428D" w14:textId="77777777" w:rsidTr="00140307">
        <w:trPr>
          <w:trHeight w:val="227"/>
        </w:trPr>
        <w:tc>
          <w:tcPr>
            <w:tcW w:w="1480" w:type="dxa"/>
            <w:vAlign w:val="center"/>
          </w:tcPr>
          <w:p w14:paraId="28417DE9"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12M do 18M</w:t>
            </w:r>
          </w:p>
        </w:tc>
        <w:tc>
          <w:tcPr>
            <w:tcW w:w="1142" w:type="dxa"/>
            <w:shd w:val="clear" w:color="auto" w:fill="auto"/>
            <w:noWrap/>
            <w:vAlign w:val="center"/>
            <w:hideMark/>
          </w:tcPr>
          <w:p w14:paraId="73881DD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-5 372,35   </w:t>
            </w:r>
          </w:p>
        </w:tc>
        <w:tc>
          <w:tcPr>
            <w:tcW w:w="1136" w:type="dxa"/>
            <w:shd w:val="clear" w:color="auto" w:fill="auto"/>
            <w:noWrap/>
            <w:vAlign w:val="center"/>
            <w:hideMark/>
          </w:tcPr>
          <w:p w14:paraId="47ECFABF"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-5 372,35   </w:t>
            </w:r>
          </w:p>
        </w:tc>
        <w:tc>
          <w:tcPr>
            <w:tcW w:w="1134" w:type="dxa"/>
            <w:shd w:val="clear" w:color="auto" w:fill="auto"/>
            <w:noWrap/>
            <w:vAlign w:val="center"/>
            <w:hideMark/>
          </w:tcPr>
          <w:p w14:paraId="695C5C2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6,70   </w:t>
            </w:r>
          </w:p>
        </w:tc>
        <w:tc>
          <w:tcPr>
            <w:tcW w:w="1276" w:type="dxa"/>
            <w:shd w:val="clear" w:color="auto" w:fill="auto"/>
            <w:noWrap/>
            <w:vAlign w:val="center"/>
            <w:hideMark/>
          </w:tcPr>
          <w:p w14:paraId="17486484"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-6,70   </w:t>
            </w:r>
          </w:p>
        </w:tc>
        <w:tc>
          <w:tcPr>
            <w:tcW w:w="1275" w:type="dxa"/>
            <w:shd w:val="clear" w:color="auto" w:fill="auto"/>
            <w:noWrap/>
            <w:vAlign w:val="center"/>
            <w:hideMark/>
          </w:tcPr>
          <w:p w14:paraId="4F44EAB4"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13,39   </w:t>
            </w:r>
          </w:p>
        </w:tc>
        <w:tc>
          <w:tcPr>
            <w:tcW w:w="1134" w:type="dxa"/>
            <w:shd w:val="clear" w:color="auto" w:fill="auto"/>
            <w:noWrap/>
            <w:vAlign w:val="center"/>
            <w:hideMark/>
          </w:tcPr>
          <w:p w14:paraId="21ECD18F"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-13,39   </w:t>
            </w:r>
          </w:p>
        </w:tc>
        <w:tc>
          <w:tcPr>
            <w:tcW w:w="707" w:type="dxa"/>
            <w:vMerge/>
            <w:vAlign w:val="center"/>
          </w:tcPr>
          <w:p w14:paraId="1530307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65289C25" w14:textId="77777777" w:rsidTr="00140307">
        <w:trPr>
          <w:trHeight w:val="227"/>
        </w:trPr>
        <w:tc>
          <w:tcPr>
            <w:tcW w:w="1480" w:type="dxa"/>
            <w:vAlign w:val="center"/>
          </w:tcPr>
          <w:p w14:paraId="686923D1"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18M do 24M</w:t>
            </w:r>
          </w:p>
        </w:tc>
        <w:tc>
          <w:tcPr>
            <w:tcW w:w="1142" w:type="dxa"/>
            <w:shd w:val="clear" w:color="auto" w:fill="auto"/>
            <w:noWrap/>
            <w:vAlign w:val="center"/>
            <w:hideMark/>
          </w:tcPr>
          <w:p w14:paraId="248FE7D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-5 410,45   </w:t>
            </w:r>
          </w:p>
        </w:tc>
        <w:tc>
          <w:tcPr>
            <w:tcW w:w="1136" w:type="dxa"/>
            <w:shd w:val="clear" w:color="auto" w:fill="auto"/>
            <w:noWrap/>
            <w:vAlign w:val="center"/>
            <w:hideMark/>
          </w:tcPr>
          <w:p w14:paraId="3FBEC21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-5 410,45   </w:t>
            </w:r>
          </w:p>
        </w:tc>
        <w:tc>
          <w:tcPr>
            <w:tcW w:w="1134" w:type="dxa"/>
            <w:shd w:val="clear" w:color="auto" w:fill="auto"/>
            <w:noWrap/>
            <w:vAlign w:val="center"/>
            <w:hideMark/>
          </w:tcPr>
          <w:p w14:paraId="14286D5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20,31   </w:t>
            </w:r>
          </w:p>
        </w:tc>
        <w:tc>
          <w:tcPr>
            <w:tcW w:w="1276" w:type="dxa"/>
            <w:shd w:val="clear" w:color="auto" w:fill="auto"/>
            <w:noWrap/>
            <w:vAlign w:val="center"/>
            <w:hideMark/>
          </w:tcPr>
          <w:p w14:paraId="6DF7173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-20,31   </w:t>
            </w:r>
          </w:p>
        </w:tc>
        <w:tc>
          <w:tcPr>
            <w:tcW w:w="1275" w:type="dxa"/>
            <w:shd w:val="clear" w:color="auto" w:fill="auto"/>
            <w:noWrap/>
            <w:vAlign w:val="center"/>
            <w:hideMark/>
          </w:tcPr>
          <w:p w14:paraId="3B4281CE"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40,62   </w:t>
            </w:r>
          </w:p>
        </w:tc>
        <w:tc>
          <w:tcPr>
            <w:tcW w:w="1134" w:type="dxa"/>
            <w:shd w:val="clear" w:color="auto" w:fill="auto"/>
            <w:noWrap/>
            <w:vAlign w:val="center"/>
            <w:hideMark/>
          </w:tcPr>
          <w:p w14:paraId="017A9A2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-40,62   </w:t>
            </w:r>
          </w:p>
        </w:tc>
        <w:tc>
          <w:tcPr>
            <w:tcW w:w="707" w:type="dxa"/>
            <w:vMerge/>
            <w:vAlign w:val="center"/>
          </w:tcPr>
          <w:p w14:paraId="577957C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4217255D" w14:textId="77777777" w:rsidTr="00140307">
        <w:trPr>
          <w:trHeight w:val="227"/>
        </w:trPr>
        <w:tc>
          <w:tcPr>
            <w:tcW w:w="1480" w:type="dxa"/>
            <w:vAlign w:val="center"/>
          </w:tcPr>
          <w:p w14:paraId="61FB279B"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24M do 36M</w:t>
            </w:r>
          </w:p>
        </w:tc>
        <w:tc>
          <w:tcPr>
            <w:tcW w:w="1142" w:type="dxa"/>
            <w:shd w:val="clear" w:color="auto" w:fill="auto"/>
            <w:noWrap/>
            <w:vAlign w:val="center"/>
            <w:hideMark/>
          </w:tcPr>
          <w:p w14:paraId="7B2B624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-10 623,93   </w:t>
            </w:r>
          </w:p>
        </w:tc>
        <w:tc>
          <w:tcPr>
            <w:tcW w:w="1136" w:type="dxa"/>
            <w:shd w:val="clear" w:color="auto" w:fill="auto"/>
            <w:noWrap/>
            <w:vAlign w:val="center"/>
            <w:hideMark/>
          </w:tcPr>
          <w:p w14:paraId="4A6689D3"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-10 623,93   </w:t>
            </w:r>
          </w:p>
        </w:tc>
        <w:tc>
          <w:tcPr>
            <w:tcW w:w="1134" w:type="dxa"/>
            <w:shd w:val="clear" w:color="auto" w:fill="auto"/>
            <w:noWrap/>
            <w:vAlign w:val="center"/>
            <w:hideMark/>
          </w:tcPr>
          <w:p w14:paraId="5AC22E8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79,75   </w:t>
            </w:r>
          </w:p>
        </w:tc>
        <w:tc>
          <w:tcPr>
            <w:tcW w:w="1276" w:type="dxa"/>
            <w:shd w:val="clear" w:color="auto" w:fill="auto"/>
            <w:noWrap/>
            <w:vAlign w:val="center"/>
            <w:hideMark/>
          </w:tcPr>
          <w:p w14:paraId="667EF64F"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-79,75   </w:t>
            </w:r>
          </w:p>
        </w:tc>
        <w:tc>
          <w:tcPr>
            <w:tcW w:w="1275" w:type="dxa"/>
            <w:shd w:val="clear" w:color="auto" w:fill="auto"/>
            <w:noWrap/>
            <w:vAlign w:val="center"/>
            <w:hideMark/>
          </w:tcPr>
          <w:p w14:paraId="2FBC20AC"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159,50   </w:t>
            </w:r>
          </w:p>
        </w:tc>
        <w:tc>
          <w:tcPr>
            <w:tcW w:w="1134" w:type="dxa"/>
            <w:shd w:val="clear" w:color="auto" w:fill="auto"/>
            <w:noWrap/>
            <w:vAlign w:val="center"/>
            <w:hideMark/>
          </w:tcPr>
          <w:p w14:paraId="5F3E368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-159,50   </w:t>
            </w:r>
          </w:p>
        </w:tc>
        <w:tc>
          <w:tcPr>
            <w:tcW w:w="707" w:type="dxa"/>
            <w:vMerge/>
            <w:vAlign w:val="center"/>
          </w:tcPr>
          <w:p w14:paraId="70BDF2C3"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51D65B29" w14:textId="77777777" w:rsidTr="00140307">
        <w:trPr>
          <w:trHeight w:val="227"/>
        </w:trPr>
        <w:tc>
          <w:tcPr>
            <w:tcW w:w="1480" w:type="dxa"/>
            <w:vAlign w:val="center"/>
          </w:tcPr>
          <w:p w14:paraId="0D014AD0"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36M do 48M</w:t>
            </w:r>
          </w:p>
        </w:tc>
        <w:tc>
          <w:tcPr>
            <w:tcW w:w="1142" w:type="dxa"/>
            <w:shd w:val="clear" w:color="auto" w:fill="auto"/>
            <w:noWrap/>
            <w:vAlign w:val="center"/>
            <w:hideMark/>
          </w:tcPr>
          <w:p w14:paraId="059FC1DE"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-10 441,91   </w:t>
            </w:r>
          </w:p>
        </w:tc>
        <w:tc>
          <w:tcPr>
            <w:tcW w:w="1136" w:type="dxa"/>
            <w:shd w:val="clear" w:color="auto" w:fill="auto"/>
            <w:noWrap/>
            <w:vAlign w:val="center"/>
            <w:hideMark/>
          </w:tcPr>
          <w:p w14:paraId="5CDD0CE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-10 441,91   </w:t>
            </w:r>
          </w:p>
        </w:tc>
        <w:tc>
          <w:tcPr>
            <w:tcW w:w="1134" w:type="dxa"/>
            <w:shd w:val="clear" w:color="auto" w:fill="auto"/>
            <w:noWrap/>
            <w:vAlign w:val="center"/>
            <w:hideMark/>
          </w:tcPr>
          <w:p w14:paraId="27440C8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130,60   </w:t>
            </w:r>
          </w:p>
        </w:tc>
        <w:tc>
          <w:tcPr>
            <w:tcW w:w="1276" w:type="dxa"/>
            <w:shd w:val="clear" w:color="auto" w:fill="auto"/>
            <w:noWrap/>
            <w:vAlign w:val="center"/>
            <w:hideMark/>
          </w:tcPr>
          <w:p w14:paraId="78A1430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-130,60   </w:t>
            </w:r>
          </w:p>
        </w:tc>
        <w:tc>
          <w:tcPr>
            <w:tcW w:w="1275" w:type="dxa"/>
            <w:shd w:val="clear" w:color="auto" w:fill="auto"/>
            <w:noWrap/>
            <w:vAlign w:val="center"/>
            <w:hideMark/>
          </w:tcPr>
          <w:p w14:paraId="5D952EEB"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261,19   </w:t>
            </w:r>
          </w:p>
        </w:tc>
        <w:tc>
          <w:tcPr>
            <w:tcW w:w="1134" w:type="dxa"/>
            <w:shd w:val="clear" w:color="auto" w:fill="auto"/>
            <w:noWrap/>
            <w:vAlign w:val="center"/>
            <w:hideMark/>
          </w:tcPr>
          <w:p w14:paraId="3F35E36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-261,19   </w:t>
            </w:r>
          </w:p>
        </w:tc>
        <w:tc>
          <w:tcPr>
            <w:tcW w:w="707" w:type="dxa"/>
            <w:vMerge/>
            <w:vAlign w:val="center"/>
          </w:tcPr>
          <w:p w14:paraId="116103AA"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308FAF73" w14:textId="77777777" w:rsidTr="00140307">
        <w:trPr>
          <w:trHeight w:val="227"/>
        </w:trPr>
        <w:tc>
          <w:tcPr>
            <w:tcW w:w="1480" w:type="dxa"/>
            <w:vAlign w:val="center"/>
          </w:tcPr>
          <w:p w14:paraId="27741BE6"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48M do 60M</w:t>
            </w:r>
          </w:p>
        </w:tc>
        <w:tc>
          <w:tcPr>
            <w:tcW w:w="1142" w:type="dxa"/>
            <w:shd w:val="clear" w:color="auto" w:fill="auto"/>
            <w:noWrap/>
            <w:vAlign w:val="center"/>
            <w:hideMark/>
          </w:tcPr>
          <w:p w14:paraId="2C5EFE8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-10 280,75   </w:t>
            </w:r>
          </w:p>
        </w:tc>
        <w:tc>
          <w:tcPr>
            <w:tcW w:w="1136" w:type="dxa"/>
            <w:shd w:val="clear" w:color="auto" w:fill="auto"/>
            <w:noWrap/>
            <w:vAlign w:val="center"/>
            <w:hideMark/>
          </w:tcPr>
          <w:p w14:paraId="53574ED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-10 280,75   </w:t>
            </w:r>
          </w:p>
        </w:tc>
        <w:tc>
          <w:tcPr>
            <w:tcW w:w="1134" w:type="dxa"/>
            <w:shd w:val="clear" w:color="auto" w:fill="auto"/>
            <w:noWrap/>
            <w:vAlign w:val="center"/>
            <w:hideMark/>
          </w:tcPr>
          <w:p w14:paraId="5777969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179,98   </w:t>
            </w:r>
          </w:p>
        </w:tc>
        <w:tc>
          <w:tcPr>
            <w:tcW w:w="1276" w:type="dxa"/>
            <w:shd w:val="clear" w:color="auto" w:fill="auto"/>
            <w:noWrap/>
            <w:vAlign w:val="center"/>
            <w:hideMark/>
          </w:tcPr>
          <w:p w14:paraId="21D929E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-179,98   </w:t>
            </w:r>
          </w:p>
        </w:tc>
        <w:tc>
          <w:tcPr>
            <w:tcW w:w="1275" w:type="dxa"/>
            <w:shd w:val="clear" w:color="auto" w:fill="auto"/>
            <w:noWrap/>
            <w:vAlign w:val="center"/>
            <w:hideMark/>
          </w:tcPr>
          <w:p w14:paraId="232A215F"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359,97   </w:t>
            </w:r>
          </w:p>
        </w:tc>
        <w:tc>
          <w:tcPr>
            <w:tcW w:w="1134" w:type="dxa"/>
            <w:shd w:val="clear" w:color="auto" w:fill="auto"/>
            <w:noWrap/>
            <w:vAlign w:val="center"/>
            <w:hideMark/>
          </w:tcPr>
          <w:p w14:paraId="224EFCC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-359,97   </w:t>
            </w:r>
          </w:p>
        </w:tc>
        <w:tc>
          <w:tcPr>
            <w:tcW w:w="707" w:type="dxa"/>
            <w:vMerge/>
            <w:vAlign w:val="center"/>
          </w:tcPr>
          <w:p w14:paraId="4B44FC4B"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0232D0DD" w14:textId="77777777" w:rsidTr="00140307">
        <w:trPr>
          <w:trHeight w:val="227"/>
        </w:trPr>
        <w:tc>
          <w:tcPr>
            <w:tcW w:w="1480" w:type="dxa"/>
            <w:vAlign w:val="center"/>
          </w:tcPr>
          <w:p w14:paraId="134A9F54"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60M do 72M</w:t>
            </w:r>
          </w:p>
        </w:tc>
        <w:tc>
          <w:tcPr>
            <w:tcW w:w="1142" w:type="dxa"/>
            <w:shd w:val="clear" w:color="auto" w:fill="auto"/>
            <w:noWrap/>
            <w:vAlign w:val="center"/>
            <w:hideMark/>
          </w:tcPr>
          <w:p w14:paraId="30CF171C"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-10 052,47   </w:t>
            </w:r>
          </w:p>
        </w:tc>
        <w:tc>
          <w:tcPr>
            <w:tcW w:w="1136" w:type="dxa"/>
            <w:shd w:val="clear" w:color="auto" w:fill="auto"/>
            <w:noWrap/>
            <w:vAlign w:val="center"/>
            <w:hideMark/>
          </w:tcPr>
          <w:p w14:paraId="13B64C7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-10 052,47   </w:t>
            </w:r>
          </w:p>
        </w:tc>
        <w:tc>
          <w:tcPr>
            <w:tcW w:w="1134" w:type="dxa"/>
            <w:shd w:val="clear" w:color="auto" w:fill="auto"/>
            <w:noWrap/>
            <w:vAlign w:val="center"/>
            <w:hideMark/>
          </w:tcPr>
          <w:p w14:paraId="53A11D8B"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226,25   </w:t>
            </w:r>
          </w:p>
        </w:tc>
        <w:tc>
          <w:tcPr>
            <w:tcW w:w="1276" w:type="dxa"/>
            <w:shd w:val="clear" w:color="auto" w:fill="auto"/>
            <w:noWrap/>
            <w:vAlign w:val="center"/>
            <w:hideMark/>
          </w:tcPr>
          <w:p w14:paraId="66F737EF"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-226,25   </w:t>
            </w:r>
          </w:p>
        </w:tc>
        <w:tc>
          <w:tcPr>
            <w:tcW w:w="1275" w:type="dxa"/>
            <w:shd w:val="clear" w:color="auto" w:fill="auto"/>
            <w:noWrap/>
            <w:vAlign w:val="center"/>
            <w:hideMark/>
          </w:tcPr>
          <w:p w14:paraId="3529AEE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452,50   </w:t>
            </w:r>
          </w:p>
        </w:tc>
        <w:tc>
          <w:tcPr>
            <w:tcW w:w="1134" w:type="dxa"/>
            <w:shd w:val="clear" w:color="auto" w:fill="auto"/>
            <w:noWrap/>
            <w:vAlign w:val="center"/>
            <w:hideMark/>
          </w:tcPr>
          <w:p w14:paraId="1B26CC8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-452,50   </w:t>
            </w:r>
          </w:p>
        </w:tc>
        <w:tc>
          <w:tcPr>
            <w:tcW w:w="707" w:type="dxa"/>
            <w:vMerge/>
            <w:vAlign w:val="center"/>
          </w:tcPr>
          <w:p w14:paraId="3A8101E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28564E1A" w14:textId="77777777" w:rsidTr="00140307">
        <w:trPr>
          <w:trHeight w:val="227"/>
        </w:trPr>
        <w:tc>
          <w:tcPr>
            <w:tcW w:w="1480" w:type="dxa"/>
            <w:vAlign w:val="center"/>
          </w:tcPr>
          <w:p w14:paraId="72836EDF"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72M do 84M</w:t>
            </w:r>
          </w:p>
        </w:tc>
        <w:tc>
          <w:tcPr>
            <w:tcW w:w="1142" w:type="dxa"/>
            <w:shd w:val="clear" w:color="auto" w:fill="auto"/>
            <w:noWrap/>
            <w:vAlign w:val="center"/>
            <w:hideMark/>
          </w:tcPr>
          <w:p w14:paraId="374150E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-9 874,06   </w:t>
            </w:r>
          </w:p>
        </w:tc>
        <w:tc>
          <w:tcPr>
            <w:tcW w:w="1136" w:type="dxa"/>
            <w:shd w:val="clear" w:color="auto" w:fill="auto"/>
            <w:noWrap/>
            <w:vAlign w:val="center"/>
            <w:hideMark/>
          </w:tcPr>
          <w:p w14:paraId="5FC8BFD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-9 874,06   </w:t>
            </w:r>
          </w:p>
        </w:tc>
        <w:tc>
          <w:tcPr>
            <w:tcW w:w="1134" w:type="dxa"/>
            <w:shd w:val="clear" w:color="auto" w:fill="auto"/>
            <w:noWrap/>
            <w:vAlign w:val="center"/>
            <w:hideMark/>
          </w:tcPr>
          <w:p w14:paraId="3374C83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271,60   </w:t>
            </w:r>
          </w:p>
        </w:tc>
        <w:tc>
          <w:tcPr>
            <w:tcW w:w="1276" w:type="dxa"/>
            <w:shd w:val="clear" w:color="auto" w:fill="auto"/>
            <w:noWrap/>
            <w:vAlign w:val="center"/>
            <w:hideMark/>
          </w:tcPr>
          <w:p w14:paraId="2230C9E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-271,60   </w:t>
            </w:r>
          </w:p>
        </w:tc>
        <w:tc>
          <w:tcPr>
            <w:tcW w:w="1275" w:type="dxa"/>
            <w:shd w:val="clear" w:color="auto" w:fill="auto"/>
            <w:noWrap/>
            <w:vAlign w:val="center"/>
            <w:hideMark/>
          </w:tcPr>
          <w:p w14:paraId="44BE956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543,21   </w:t>
            </w:r>
          </w:p>
        </w:tc>
        <w:tc>
          <w:tcPr>
            <w:tcW w:w="1134" w:type="dxa"/>
            <w:shd w:val="clear" w:color="auto" w:fill="auto"/>
            <w:noWrap/>
            <w:vAlign w:val="center"/>
            <w:hideMark/>
          </w:tcPr>
          <w:p w14:paraId="5E76A59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-543,21   </w:t>
            </w:r>
          </w:p>
        </w:tc>
        <w:tc>
          <w:tcPr>
            <w:tcW w:w="707" w:type="dxa"/>
            <w:vMerge/>
            <w:vAlign w:val="center"/>
          </w:tcPr>
          <w:p w14:paraId="08BBD13A"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16010DFB" w14:textId="77777777" w:rsidTr="00140307">
        <w:trPr>
          <w:trHeight w:val="227"/>
        </w:trPr>
        <w:tc>
          <w:tcPr>
            <w:tcW w:w="1480" w:type="dxa"/>
            <w:vAlign w:val="center"/>
          </w:tcPr>
          <w:p w14:paraId="11FEFF7C"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84M do 96M</w:t>
            </w:r>
          </w:p>
        </w:tc>
        <w:tc>
          <w:tcPr>
            <w:tcW w:w="1142" w:type="dxa"/>
            <w:shd w:val="clear" w:color="auto" w:fill="auto"/>
            <w:noWrap/>
            <w:vAlign w:val="center"/>
            <w:hideMark/>
          </w:tcPr>
          <w:p w14:paraId="7E9BE8D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-9 685,60   </w:t>
            </w:r>
          </w:p>
        </w:tc>
        <w:tc>
          <w:tcPr>
            <w:tcW w:w="1136" w:type="dxa"/>
            <w:shd w:val="clear" w:color="auto" w:fill="auto"/>
            <w:noWrap/>
            <w:vAlign w:val="center"/>
            <w:hideMark/>
          </w:tcPr>
          <w:p w14:paraId="3E3FCA0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-9 685,60   </w:t>
            </w:r>
          </w:p>
        </w:tc>
        <w:tc>
          <w:tcPr>
            <w:tcW w:w="1134" w:type="dxa"/>
            <w:shd w:val="clear" w:color="auto" w:fill="auto"/>
            <w:noWrap/>
            <w:vAlign w:val="center"/>
            <w:hideMark/>
          </w:tcPr>
          <w:p w14:paraId="3035832C"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314,85   </w:t>
            </w:r>
          </w:p>
        </w:tc>
        <w:tc>
          <w:tcPr>
            <w:tcW w:w="1276" w:type="dxa"/>
            <w:shd w:val="clear" w:color="auto" w:fill="auto"/>
            <w:noWrap/>
            <w:vAlign w:val="center"/>
            <w:hideMark/>
          </w:tcPr>
          <w:p w14:paraId="0FF5FDAA"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-314,85   </w:t>
            </w:r>
          </w:p>
        </w:tc>
        <w:tc>
          <w:tcPr>
            <w:tcW w:w="1275" w:type="dxa"/>
            <w:shd w:val="clear" w:color="auto" w:fill="auto"/>
            <w:noWrap/>
            <w:vAlign w:val="center"/>
            <w:hideMark/>
          </w:tcPr>
          <w:p w14:paraId="6B110B9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629,70   </w:t>
            </w:r>
          </w:p>
        </w:tc>
        <w:tc>
          <w:tcPr>
            <w:tcW w:w="1134" w:type="dxa"/>
            <w:shd w:val="clear" w:color="auto" w:fill="auto"/>
            <w:noWrap/>
            <w:vAlign w:val="center"/>
            <w:hideMark/>
          </w:tcPr>
          <w:p w14:paraId="07F69FD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-629,70   </w:t>
            </w:r>
          </w:p>
        </w:tc>
        <w:tc>
          <w:tcPr>
            <w:tcW w:w="707" w:type="dxa"/>
            <w:vMerge/>
            <w:vAlign w:val="center"/>
          </w:tcPr>
          <w:p w14:paraId="1B5E9183"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3B21BEC5" w14:textId="77777777" w:rsidTr="00140307">
        <w:trPr>
          <w:trHeight w:val="227"/>
        </w:trPr>
        <w:tc>
          <w:tcPr>
            <w:tcW w:w="1480" w:type="dxa"/>
            <w:vAlign w:val="center"/>
          </w:tcPr>
          <w:p w14:paraId="41822349"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96M do 108M</w:t>
            </w:r>
          </w:p>
        </w:tc>
        <w:tc>
          <w:tcPr>
            <w:tcW w:w="1142" w:type="dxa"/>
            <w:shd w:val="clear" w:color="auto" w:fill="auto"/>
            <w:noWrap/>
            <w:vAlign w:val="center"/>
            <w:hideMark/>
          </w:tcPr>
          <w:p w14:paraId="38907DD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-9 524,17   </w:t>
            </w:r>
          </w:p>
        </w:tc>
        <w:tc>
          <w:tcPr>
            <w:tcW w:w="1136" w:type="dxa"/>
            <w:shd w:val="clear" w:color="auto" w:fill="auto"/>
            <w:noWrap/>
            <w:vAlign w:val="center"/>
            <w:hideMark/>
          </w:tcPr>
          <w:p w14:paraId="1A385E2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-9 524,17   </w:t>
            </w:r>
          </w:p>
        </w:tc>
        <w:tc>
          <w:tcPr>
            <w:tcW w:w="1134" w:type="dxa"/>
            <w:shd w:val="clear" w:color="auto" w:fill="auto"/>
            <w:noWrap/>
            <w:vAlign w:val="center"/>
            <w:hideMark/>
          </w:tcPr>
          <w:p w14:paraId="7F81993E"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357,22   </w:t>
            </w:r>
          </w:p>
        </w:tc>
        <w:tc>
          <w:tcPr>
            <w:tcW w:w="1276" w:type="dxa"/>
            <w:shd w:val="clear" w:color="auto" w:fill="auto"/>
            <w:noWrap/>
            <w:vAlign w:val="center"/>
            <w:hideMark/>
          </w:tcPr>
          <w:p w14:paraId="29E0E8DE"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-357,22   </w:t>
            </w:r>
          </w:p>
        </w:tc>
        <w:tc>
          <w:tcPr>
            <w:tcW w:w="1275" w:type="dxa"/>
            <w:shd w:val="clear" w:color="auto" w:fill="auto"/>
            <w:noWrap/>
            <w:vAlign w:val="center"/>
            <w:hideMark/>
          </w:tcPr>
          <w:p w14:paraId="3452648A"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714,44   </w:t>
            </w:r>
          </w:p>
        </w:tc>
        <w:tc>
          <w:tcPr>
            <w:tcW w:w="1134" w:type="dxa"/>
            <w:shd w:val="clear" w:color="auto" w:fill="auto"/>
            <w:noWrap/>
            <w:vAlign w:val="center"/>
            <w:hideMark/>
          </w:tcPr>
          <w:p w14:paraId="57E7DE7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-714,44   </w:t>
            </w:r>
          </w:p>
        </w:tc>
        <w:tc>
          <w:tcPr>
            <w:tcW w:w="707" w:type="dxa"/>
            <w:vMerge/>
            <w:vAlign w:val="center"/>
          </w:tcPr>
          <w:p w14:paraId="754D8CDC"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3DFD1068" w14:textId="77777777" w:rsidTr="00140307">
        <w:trPr>
          <w:trHeight w:val="227"/>
        </w:trPr>
        <w:tc>
          <w:tcPr>
            <w:tcW w:w="1480" w:type="dxa"/>
            <w:vAlign w:val="center"/>
          </w:tcPr>
          <w:p w14:paraId="18A0664F"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108M do 120M</w:t>
            </w:r>
          </w:p>
        </w:tc>
        <w:tc>
          <w:tcPr>
            <w:tcW w:w="1142" w:type="dxa"/>
            <w:shd w:val="clear" w:color="auto" w:fill="auto"/>
            <w:noWrap/>
            <w:vAlign w:val="center"/>
            <w:hideMark/>
          </w:tcPr>
          <w:p w14:paraId="5C8196E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-9 290,27   </w:t>
            </w:r>
          </w:p>
        </w:tc>
        <w:tc>
          <w:tcPr>
            <w:tcW w:w="1136" w:type="dxa"/>
            <w:shd w:val="clear" w:color="auto" w:fill="auto"/>
            <w:noWrap/>
            <w:vAlign w:val="center"/>
            <w:hideMark/>
          </w:tcPr>
          <w:p w14:paraId="7286EA3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-9 290,27   </w:t>
            </w:r>
          </w:p>
        </w:tc>
        <w:tc>
          <w:tcPr>
            <w:tcW w:w="1134" w:type="dxa"/>
            <w:shd w:val="clear" w:color="auto" w:fill="auto"/>
            <w:noWrap/>
            <w:vAlign w:val="center"/>
            <w:hideMark/>
          </w:tcPr>
          <w:p w14:paraId="3CD4391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394,90   </w:t>
            </w:r>
          </w:p>
        </w:tc>
        <w:tc>
          <w:tcPr>
            <w:tcW w:w="1276" w:type="dxa"/>
            <w:shd w:val="clear" w:color="auto" w:fill="auto"/>
            <w:noWrap/>
            <w:vAlign w:val="center"/>
            <w:hideMark/>
          </w:tcPr>
          <w:p w14:paraId="349E090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-394,90   </w:t>
            </w:r>
          </w:p>
        </w:tc>
        <w:tc>
          <w:tcPr>
            <w:tcW w:w="1275" w:type="dxa"/>
            <w:shd w:val="clear" w:color="auto" w:fill="auto"/>
            <w:noWrap/>
            <w:vAlign w:val="center"/>
            <w:hideMark/>
          </w:tcPr>
          <w:p w14:paraId="2DCD592A"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789,80   </w:t>
            </w:r>
          </w:p>
        </w:tc>
        <w:tc>
          <w:tcPr>
            <w:tcW w:w="1134" w:type="dxa"/>
            <w:shd w:val="clear" w:color="auto" w:fill="auto"/>
            <w:noWrap/>
            <w:vAlign w:val="center"/>
            <w:hideMark/>
          </w:tcPr>
          <w:p w14:paraId="39E2714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-789,80   </w:t>
            </w:r>
          </w:p>
        </w:tc>
        <w:tc>
          <w:tcPr>
            <w:tcW w:w="707" w:type="dxa"/>
            <w:vMerge/>
            <w:vAlign w:val="center"/>
          </w:tcPr>
          <w:p w14:paraId="3F1FB204"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06C4D2D4" w14:textId="77777777" w:rsidTr="00140307">
        <w:trPr>
          <w:trHeight w:val="227"/>
        </w:trPr>
        <w:tc>
          <w:tcPr>
            <w:tcW w:w="1480" w:type="dxa"/>
            <w:vAlign w:val="center"/>
          </w:tcPr>
          <w:p w14:paraId="306B2E2A"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120M do 180M</w:t>
            </w:r>
          </w:p>
        </w:tc>
        <w:tc>
          <w:tcPr>
            <w:tcW w:w="1142" w:type="dxa"/>
            <w:shd w:val="clear" w:color="auto" w:fill="auto"/>
            <w:noWrap/>
            <w:vAlign w:val="center"/>
            <w:hideMark/>
          </w:tcPr>
          <w:p w14:paraId="1AD6C69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-43 867,40   </w:t>
            </w:r>
          </w:p>
        </w:tc>
        <w:tc>
          <w:tcPr>
            <w:tcW w:w="1136" w:type="dxa"/>
            <w:shd w:val="clear" w:color="auto" w:fill="auto"/>
            <w:noWrap/>
            <w:vAlign w:val="center"/>
            <w:hideMark/>
          </w:tcPr>
          <w:p w14:paraId="3C8C833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-43 867,40   </w:t>
            </w:r>
          </w:p>
        </w:tc>
        <w:tc>
          <w:tcPr>
            <w:tcW w:w="1134" w:type="dxa"/>
            <w:shd w:val="clear" w:color="auto" w:fill="auto"/>
            <w:noWrap/>
            <w:vAlign w:val="center"/>
            <w:hideMark/>
          </w:tcPr>
          <w:p w14:paraId="7591B27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2 522,68   </w:t>
            </w:r>
          </w:p>
        </w:tc>
        <w:tc>
          <w:tcPr>
            <w:tcW w:w="1276" w:type="dxa"/>
            <w:shd w:val="clear" w:color="auto" w:fill="auto"/>
            <w:noWrap/>
            <w:vAlign w:val="center"/>
            <w:hideMark/>
          </w:tcPr>
          <w:p w14:paraId="7178338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-2 522,68   </w:t>
            </w:r>
          </w:p>
        </w:tc>
        <w:tc>
          <w:tcPr>
            <w:tcW w:w="1275" w:type="dxa"/>
            <w:shd w:val="clear" w:color="auto" w:fill="auto"/>
            <w:noWrap/>
            <w:vAlign w:val="center"/>
            <w:hideMark/>
          </w:tcPr>
          <w:p w14:paraId="2B5DBA2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5 045,35   </w:t>
            </w:r>
          </w:p>
        </w:tc>
        <w:tc>
          <w:tcPr>
            <w:tcW w:w="1134" w:type="dxa"/>
            <w:shd w:val="clear" w:color="auto" w:fill="auto"/>
            <w:noWrap/>
            <w:vAlign w:val="center"/>
            <w:hideMark/>
          </w:tcPr>
          <w:p w14:paraId="45BB4A9A"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-5 045,35   </w:t>
            </w:r>
          </w:p>
        </w:tc>
        <w:tc>
          <w:tcPr>
            <w:tcW w:w="707" w:type="dxa"/>
            <w:vMerge/>
            <w:vAlign w:val="center"/>
          </w:tcPr>
          <w:p w14:paraId="3D29C70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352C0B73" w14:textId="77777777" w:rsidTr="00140307">
        <w:trPr>
          <w:trHeight w:val="227"/>
        </w:trPr>
        <w:tc>
          <w:tcPr>
            <w:tcW w:w="1480" w:type="dxa"/>
            <w:vAlign w:val="center"/>
          </w:tcPr>
          <w:p w14:paraId="47D8B17C"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180M do 240M</w:t>
            </w:r>
          </w:p>
        </w:tc>
        <w:tc>
          <w:tcPr>
            <w:tcW w:w="1142" w:type="dxa"/>
            <w:shd w:val="clear" w:color="auto" w:fill="auto"/>
            <w:noWrap/>
            <w:vAlign w:val="center"/>
            <w:hideMark/>
          </w:tcPr>
          <w:p w14:paraId="5F1DAAC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-38 847,03   </w:t>
            </w:r>
          </w:p>
        </w:tc>
        <w:tc>
          <w:tcPr>
            <w:tcW w:w="1136" w:type="dxa"/>
            <w:shd w:val="clear" w:color="auto" w:fill="auto"/>
            <w:noWrap/>
            <w:vAlign w:val="center"/>
            <w:hideMark/>
          </w:tcPr>
          <w:p w14:paraId="102E62A0"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-38 847,03   </w:t>
            </w:r>
          </w:p>
        </w:tc>
        <w:tc>
          <w:tcPr>
            <w:tcW w:w="1134" w:type="dxa"/>
            <w:shd w:val="clear" w:color="auto" w:fill="auto"/>
            <w:noWrap/>
            <w:vAlign w:val="center"/>
            <w:hideMark/>
          </w:tcPr>
          <w:p w14:paraId="5E8A5A0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3 205,15   </w:t>
            </w:r>
          </w:p>
        </w:tc>
        <w:tc>
          <w:tcPr>
            <w:tcW w:w="1276" w:type="dxa"/>
            <w:shd w:val="clear" w:color="auto" w:fill="auto"/>
            <w:noWrap/>
            <w:vAlign w:val="center"/>
            <w:hideMark/>
          </w:tcPr>
          <w:p w14:paraId="7CACD0C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-3 205,15   </w:t>
            </w:r>
          </w:p>
        </w:tc>
        <w:tc>
          <w:tcPr>
            <w:tcW w:w="1275" w:type="dxa"/>
            <w:shd w:val="clear" w:color="auto" w:fill="auto"/>
            <w:noWrap/>
            <w:vAlign w:val="center"/>
            <w:hideMark/>
          </w:tcPr>
          <w:p w14:paraId="0CD337E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6 410,29   </w:t>
            </w:r>
          </w:p>
        </w:tc>
        <w:tc>
          <w:tcPr>
            <w:tcW w:w="1134" w:type="dxa"/>
            <w:shd w:val="clear" w:color="auto" w:fill="auto"/>
            <w:noWrap/>
            <w:vAlign w:val="center"/>
            <w:hideMark/>
          </w:tcPr>
          <w:p w14:paraId="1E14039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-6 410,29   </w:t>
            </w:r>
          </w:p>
        </w:tc>
        <w:tc>
          <w:tcPr>
            <w:tcW w:w="707" w:type="dxa"/>
            <w:vMerge/>
            <w:vAlign w:val="center"/>
          </w:tcPr>
          <w:p w14:paraId="00D98E1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52CAA7F4" w14:textId="77777777" w:rsidTr="00140307">
        <w:trPr>
          <w:trHeight w:val="227"/>
        </w:trPr>
        <w:tc>
          <w:tcPr>
            <w:tcW w:w="1480" w:type="dxa"/>
            <w:vAlign w:val="center"/>
          </w:tcPr>
          <w:p w14:paraId="75C01C7B"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PLN od 240M</w:t>
            </w:r>
          </w:p>
        </w:tc>
        <w:tc>
          <w:tcPr>
            <w:tcW w:w="1142" w:type="dxa"/>
            <w:shd w:val="clear" w:color="auto" w:fill="auto"/>
            <w:noWrap/>
            <w:vAlign w:val="center"/>
            <w:hideMark/>
          </w:tcPr>
          <w:p w14:paraId="6611A0FE"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-414 631,28   </w:t>
            </w:r>
          </w:p>
        </w:tc>
        <w:tc>
          <w:tcPr>
            <w:tcW w:w="1136" w:type="dxa"/>
            <w:shd w:val="clear" w:color="auto" w:fill="auto"/>
            <w:noWrap/>
            <w:vAlign w:val="center"/>
            <w:hideMark/>
          </w:tcPr>
          <w:p w14:paraId="4D5A0DB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-414 631,28   </w:t>
            </w:r>
          </w:p>
        </w:tc>
        <w:tc>
          <w:tcPr>
            <w:tcW w:w="1134" w:type="dxa"/>
            <w:shd w:val="clear" w:color="auto" w:fill="auto"/>
            <w:noWrap/>
            <w:vAlign w:val="center"/>
            <w:hideMark/>
          </w:tcPr>
          <w:p w14:paraId="12CCC60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49 755,75   </w:t>
            </w:r>
          </w:p>
        </w:tc>
        <w:tc>
          <w:tcPr>
            <w:tcW w:w="1276" w:type="dxa"/>
            <w:shd w:val="clear" w:color="auto" w:fill="auto"/>
            <w:noWrap/>
            <w:vAlign w:val="center"/>
            <w:hideMark/>
          </w:tcPr>
          <w:p w14:paraId="54D4C16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-49 755,75   </w:t>
            </w:r>
          </w:p>
        </w:tc>
        <w:tc>
          <w:tcPr>
            <w:tcW w:w="1275" w:type="dxa"/>
            <w:shd w:val="clear" w:color="auto" w:fill="auto"/>
            <w:noWrap/>
            <w:vAlign w:val="center"/>
            <w:hideMark/>
          </w:tcPr>
          <w:p w14:paraId="010C1FE7"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99 511,51   </w:t>
            </w:r>
          </w:p>
        </w:tc>
        <w:tc>
          <w:tcPr>
            <w:tcW w:w="1134" w:type="dxa"/>
            <w:shd w:val="clear" w:color="auto" w:fill="auto"/>
            <w:noWrap/>
            <w:vAlign w:val="center"/>
            <w:hideMark/>
          </w:tcPr>
          <w:p w14:paraId="49309D1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-99 511,51   </w:t>
            </w:r>
          </w:p>
        </w:tc>
        <w:tc>
          <w:tcPr>
            <w:tcW w:w="707" w:type="dxa"/>
            <w:vMerge/>
            <w:vAlign w:val="center"/>
          </w:tcPr>
          <w:p w14:paraId="6907295C"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14E7C2AF" w14:textId="77777777" w:rsidTr="00140307">
        <w:trPr>
          <w:trHeight w:val="65"/>
        </w:trPr>
        <w:tc>
          <w:tcPr>
            <w:tcW w:w="8577" w:type="dxa"/>
            <w:gridSpan w:val="7"/>
            <w:vAlign w:val="center"/>
          </w:tcPr>
          <w:p w14:paraId="439A2D4F" w14:textId="77777777" w:rsidR="00140307" w:rsidRPr="00013553" w:rsidRDefault="00140307" w:rsidP="00140307">
            <w:pPr>
              <w:spacing w:after="0" w:line="240" w:lineRule="auto"/>
              <w:rPr>
                <w:rFonts w:ascii="Times New Roman" w:eastAsia="Times New Roman" w:hAnsi="Times New Roman" w:cs="Times New Roman"/>
                <w:sz w:val="12"/>
                <w:szCs w:val="12"/>
                <w:lang w:eastAsia="pl-PL"/>
              </w:rPr>
            </w:pPr>
          </w:p>
        </w:tc>
        <w:tc>
          <w:tcPr>
            <w:tcW w:w="707" w:type="dxa"/>
            <w:vMerge/>
            <w:vAlign w:val="center"/>
          </w:tcPr>
          <w:p w14:paraId="0CC8F83C" w14:textId="77777777" w:rsidR="00140307" w:rsidRPr="00013553" w:rsidRDefault="00140307" w:rsidP="00140307">
            <w:pPr>
              <w:spacing w:after="0" w:line="240" w:lineRule="auto"/>
              <w:rPr>
                <w:rFonts w:ascii="Times New Roman" w:eastAsia="Times New Roman" w:hAnsi="Times New Roman" w:cs="Times New Roman"/>
                <w:sz w:val="12"/>
                <w:szCs w:val="12"/>
                <w:lang w:eastAsia="pl-PL"/>
              </w:rPr>
            </w:pPr>
          </w:p>
        </w:tc>
      </w:tr>
      <w:tr w:rsidR="00140307" w:rsidRPr="00013553" w14:paraId="55E1997A" w14:textId="77777777" w:rsidTr="00140307">
        <w:trPr>
          <w:trHeight w:val="227"/>
        </w:trPr>
        <w:tc>
          <w:tcPr>
            <w:tcW w:w="1480" w:type="dxa"/>
            <w:vAlign w:val="center"/>
          </w:tcPr>
          <w:p w14:paraId="1A245F7C"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USD od 1M do 3M</w:t>
            </w:r>
          </w:p>
        </w:tc>
        <w:tc>
          <w:tcPr>
            <w:tcW w:w="1142" w:type="dxa"/>
            <w:shd w:val="clear" w:color="auto" w:fill="auto"/>
            <w:noWrap/>
            <w:vAlign w:val="center"/>
            <w:hideMark/>
          </w:tcPr>
          <w:p w14:paraId="006FDC7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-58 684,76   </w:t>
            </w:r>
          </w:p>
        </w:tc>
        <w:tc>
          <w:tcPr>
            <w:tcW w:w="1136" w:type="dxa"/>
            <w:shd w:val="clear" w:color="auto" w:fill="auto"/>
            <w:noWrap/>
            <w:vAlign w:val="center"/>
            <w:hideMark/>
          </w:tcPr>
          <w:p w14:paraId="5E69481F"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-58 684,76   </w:t>
            </w:r>
          </w:p>
        </w:tc>
        <w:tc>
          <w:tcPr>
            <w:tcW w:w="1134" w:type="dxa"/>
            <w:shd w:val="clear" w:color="auto" w:fill="auto"/>
            <w:noWrap/>
            <w:vAlign w:val="center"/>
            <w:hideMark/>
          </w:tcPr>
          <w:p w14:paraId="0800C26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-244,39   </w:t>
            </w:r>
          </w:p>
        </w:tc>
        <w:tc>
          <w:tcPr>
            <w:tcW w:w="1276" w:type="dxa"/>
            <w:shd w:val="clear" w:color="auto" w:fill="auto"/>
            <w:noWrap/>
            <w:vAlign w:val="center"/>
            <w:hideMark/>
          </w:tcPr>
          <w:p w14:paraId="202DBE82"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244,39   </w:t>
            </w:r>
          </w:p>
        </w:tc>
        <w:tc>
          <w:tcPr>
            <w:tcW w:w="1275" w:type="dxa"/>
            <w:shd w:val="clear" w:color="auto" w:fill="auto"/>
            <w:noWrap/>
            <w:vAlign w:val="center"/>
            <w:hideMark/>
          </w:tcPr>
          <w:p w14:paraId="15F24EB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-488,77   </w:t>
            </w:r>
          </w:p>
        </w:tc>
        <w:tc>
          <w:tcPr>
            <w:tcW w:w="1134" w:type="dxa"/>
            <w:shd w:val="clear" w:color="auto" w:fill="auto"/>
            <w:noWrap/>
            <w:vAlign w:val="center"/>
            <w:hideMark/>
          </w:tcPr>
          <w:p w14:paraId="0BC2223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488,77   </w:t>
            </w:r>
          </w:p>
        </w:tc>
        <w:tc>
          <w:tcPr>
            <w:tcW w:w="707" w:type="dxa"/>
            <w:vMerge/>
            <w:vAlign w:val="center"/>
          </w:tcPr>
          <w:p w14:paraId="31A65A43"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0CB11E0F" w14:textId="77777777" w:rsidTr="00140307">
        <w:trPr>
          <w:trHeight w:val="227"/>
        </w:trPr>
        <w:tc>
          <w:tcPr>
            <w:tcW w:w="1480" w:type="dxa"/>
            <w:vAlign w:val="center"/>
          </w:tcPr>
          <w:p w14:paraId="4AC9AEB1"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GBP od 1M do 3M</w:t>
            </w:r>
          </w:p>
        </w:tc>
        <w:tc>
          <w:tcPr>
            <w:tcW w:w="1142" w:type="dxa"/>
            <w:shd w:val="clear" w:color="auto" w:fill="auto"/>
            <w:noWrap/>
            <w:vAlign w:val="center"/>
            <w:hideMark/>
          </w:tcPr>
          <w:p w14:paraId="363FA02E"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-193 453,38   </w:t>
            </w:r>
          </w:p>
        </w:tc>
        <w:tc>
          <w:tcPr>
            <w:tcW w:w="1136" w:type="dxa"/>
            <w:shd w:val="clear" w:color="auto" w:fill="auto"/>
            <w:noWrap/>
            <w:vAlign w:val="center"/>
            <w:hideMark/>
          </w:tcPr>
          <w:p w14:paraId="41F0E36C"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-193 453,38   </w:t>
            </w:r>
          </w:p>
        </w:tc>
        <w:tc>
          <w:tcPr>
            <w:tcW w:w="1134" w:type="dxa"/>
            <w:shd w:val="clear" w:color="auto" w:fill="auto"/>
            <w:noWrap/>
            <w:vAlign w:val="center"/>
            <w:hideMark/>
          </w:tcPr>
          <w:p w14:paraId="5151707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-805,61   </w:t>
            </w:r>
          </w:p>
        </w:tc>
        <w:tc>
          <w:tcPr>
            <w:tcW w:w="1276" w:type="dxa"/>
            <w:shd w:val="clear" w:color="auto" w:fill="auto"/>
            <w:noWrap/>
            <w:vAlign w:val="center"/>
            <w:hideMark/>
          </w:tcPr>
          <w:p w14:paraId="3C55457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805,61   </w:t>
            </w:r>
          </w:p>
        </w:tc>
        <w:tc>
          <w:tcPr>
            <w:tcW w:w="1275" w:type="dxa"/>
            <w:shd w:val="clear" w:color="auto" w:fill="auto"/>
            <w:noWrap/>
            <w:vAlign w:val="center"/>
            <w:hideMark/>
          </w:tcPr>
          <w:p w14:paraId="2E57198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-1 611,23   </w:t>
            </w:r>
          </w:p>
        </w:tc>
        <w:tc>
          <w:tcPr>
            <w:tcW w:w="1134" w:type="dxa"/>
            <w:shd w:val="clear" w:color="auto" w:fill="auto"/>
            <w:noWrap/>
            <w:vAlign w:val="center"/>
            <w:hideMark/>
          </w:tcPr>
          <w:p w14:paraId="5E7B69CB"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1 611,23   </w:t>
            </w:r>
          </w:p>
        </w:tc>
        <w:tc>
          <w:tcPr>
            <w:tcW w:w="707" w:type="dxa"/>
            <w:vMerge/>
            <w:vAlign w:val="center"/>
          </w:tcPr>
          <w:p w14:paraId="3F968675"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04D0F6ED" w14:textId="77777777" w:rsidTr="00140307">
        <w:trPr>
          <w:trHeight w:val="227"/>
        </w:trPr>
        <w:tc>
          <w:tcPr>
            <w:tcW w:w="1480" w:type="dxa"/>
            <w:vAlign w:val="center"/>
          </w:tcPr>
          <w:p w14:paraId="01DAD9FA" w14:textId="77777777" w:rsidR="00140307" w:rsidRPr="00013553" w:rsidRDefault="00140307" w:rsidP="00140307">
            <w:pPr>
              <w:spacing w:after="0" w:line="240" w:lineRule="auto"/>
              <w:rPr>
                <w:rFonts w:ascii="Times New Roman" w:eastAsia="Times New Roman" w:hAnsi="Times New Roman" w:cs="Times New Roman"/>
                <w:b/>
                <w:i/>
                <w:color w:val="000000"/>
                <w:sz w:val="12"/>
                <w:szCs w:val="12"/>
                <w:lang w:eastAsia="pl-PL"/>
              </w:rPr>
            </w:pPr>
            <w:r w:rsidRPr="00013553">
              <w:rPr>
                <w:rFonts w:ascii="Times New Roman" w:eastAsia="Times New Roman" w:hAnsi="Times New Roman" w:cs="Times New Roman"/>
                <w:b/>
                <w:i/>
                <w:color w:val="000000"/>
                <w:sz w:val="12"/>
                <w:szCs w:val="12"/>
                <w:lang w:eastAsia="pl-PL"/>
              </w:rPr>
              <w:t>EUR od 1M do 3M</w:t>
            </w:r>
          </w:p>
        </w:tc>
        <w:tc>
          <w:tcPr>
            <w:tcW w:w="1142" w:type="dxa"/>
            <w:shd w:val="clear" w:color="auto" w:fill="auto"/>
            <w:noWrap/>
            <w:vAlign w:val="center"/>
            <w:hideMark/>
          </w:tcPr>
          <w:p w14:paraId="43E90BF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-1 157 281,02   </w:t>
            </w:r>
          </w:p>
        </w:tc>
        <w:tc>
          <w:tcPr>
            <w:tcW w:w="1136" w:type="dxa"/>
            <w:shd w:val="clear" w:color="auto" w:fill="auto"/>
            <w:noWrap/>
            <w:vAlign w:val="center"/>
            <w:hideMark/>
          </w:tcPr>
          <w:p w14:paraId="5E7CA26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-1 157 281,02   </w:t>
            </w:r>
          </w:p>
        </w:tc>
        <w:tc>
          <w:tcPr>
            <w:tcW w:w="1134" w:type="dxa"/>
            <w:shd w:val="clear" w:color="auto" w:fill="auto"/>
            <w:noWrap/>
            <w:vAlign w:val="center"/>
            <w:hideMark/>
          </w:tcPr>
          <w:p w14:paraId="6E701A11"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-4 819,36   </w:t>
            </w:r>
          </w:p>
        </w:tc>
        <w:tc>
          <w:tcPr>
            <w:tcW w:w="1276" w:type="dxa"/>
            <w:shd w:val="clear" w:color="auto" w:fill="auto"/>
            <w:noWrap/>
            <w:vAlign w:val="center"/>
            <w:hideMark/>
          </w:tcPr>
          <w:p w14:paraId="5DA502A6"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4 819,36   </w:t>
            </w:r>
          </w:p>
        </w:tc>
        <w:tc>
          <w:tcPr>
            <w:tcW w:w="1275" w:type="dxa"/>
            <w:shd w:val="clear" w:color="auto" w:fill="auto"/>
            <w:noWrap/>
            <w:vAlign w:val="center"/>
            <w:hideMark/>
          </w:tcPr>
          <w:p w14:paraId="1E63798A"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-9 638,72   </w:t>
            </w:r>
          </w:p>
        </w:tc>
        <w:tc>
          <w:tcPr>
            <w:tcW w:w="1134" w:type="dxa"/>
            <w:shd w:val="clear" w:color="auto" w:fill="auto"/>
            <w:noWrap/>
            <w:vAlign w:val="center"/>
            <w:hideMark/>
          </w:tcPr>
          <w:p w14:paraId="693A77CD"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9 638,72   </w:t>
            </w:r>
          </w:p>
        </w:tc>
        <w:tc>
          <w:tcPr>
            <w:tcW w:w="707" w:type="dxa"/>
            <w:vMerge/>
            <w:vAlign w:val="center"/>
          </w:tcPr>
          <w:p w14:paraId="0312D70E"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p>
        </w:tc>
      </w:tr>
      <w:tr w:rsidR="00140307" w:rsidRPr="00013553" w14:paraId="312F389B" w14:textId="77777777" w:rsidTr="00140307">
        <w:trPr>
          <w:trHeight w:val="227"/>
        </w:trPr>
        <w:tc>
          <w:tcPr>
            <w:tcW w:w="3758" w:type="dxa"/>
            <w:gridSpan w:val="3"/>
            <w:vAlign w:val="center"/>
          </w:tcPr>
          <w:p w14:paraId="5F9D9679" w14:textId="77777777" w:rsidR="00140307" w:rsidRPr="00B62419" w:rsidRDefault="00140307" w:rsidP="00140307">
            <w:pPr>
              <w:spacing w:after="0" w:line="240" w:lineRule="auto"/>
              <w:jc w:val="right"/>
              <w:rPr>
                <w:rFonts w:ascii="Times New Roman" w:eastAsia="Times New Roman" w:hAnsi="Times New Roman" w:cs="Times New Roman"/>
                <w:b/>
                <w:i/>
                <w:sz w:val="12"/>
                <w:szCs w:val="12"/>
                <w:lang w:eastAsia="pl-PL"/>
              </w:rPr>
            </w:pPr>
            <w:r w:rsidRPr="00B62419">
              <w:rPr>
                <w:rFonts w:ascii="Times New Roman" w:eastAsia="Times New Roman" w:hAnsi="Times New Roman" w:cs="Times New Roman"/>
                <w:b/>
                <w:i/>
                <w:sz w:val="12"/>
                <w:szCs w:val="12"/>
                <w:lang w:eastAsia="pl-PL"/>
              </w:rPr>
              <w:t>RAZEM</w:t>
            </w:r>
          </w:p>
        </w:tc>
        <w:tc>
          <w:tcPr>
            <w:tcW w:w="1134" w:type="dxa"/>
            <w:shd w:val="clear" w:color="auto" w:fill="auto"/>
            <w:noWrap/>
            <w:vAlign w:val="center"/>
            <w:hideMark/>
          </w:tcPr>
          <w:p w14:paraId="3BA28F84" w14:textId="77777777" w:rsidR="00140307" w:rsidRPr="00013553" w:rsidRDefault="00140307" w:rsidP="00140307">
            <w:pPr>
              <w:spacing w:after="0" w:line="240" w:lineRule="auto"/>
              <w:jc w:val="right"/>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82 455,54</w:t>
            </w:r>
          </w:p>
        </w:tc>
        <w:tc>
          <w:tcPr>
            <w:tcW w:w="1276" w:type="dxa"/>
            <w:shd w:val="clear" w:color="auto" w:fill="auto"/>
            <w:noWrap/>
            <w:vAlign w:val="center"/>
            <w:hideMark/>
          </w:tcPr>
          <w:p w14:paraId="66689743" w14:textId="77777777" w:rsidR="00140307" w:rsidRPr="00013553" w:rsidRDefault="00140307" w:rsidP="00140307">
            <w:pPr>
              <w:spacing w:after="0" w:line="240" w:lineRule="auto"/>
              <w:jc w:val="right"/>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-82 519,50</w:t>
            </w:r>
          </w:p>
        </w:tc>
        <w:tc>
          <w:tcPr>
            <w:tcW w:w="1275" w:type="dxa"/>
            <w:shd w:val="clear" w:color="auto" w:fill="auto"/>
            <w:noWrap/>
            <w:vAlign w:val="center"/>
            <w:hideMark/>
          </w:tcPr>
          <w:p w14:paraId="557FDD26" w14:textId="77777777" w:rsidR="00140307" w:rsidRPr="00013553" w:rsidRDefault="00140307" w:rsidP="00140307">
            <w:pPr>
              <w:spacing w:after="0" w:line="240" w:lineRule="auto"/>
              <w:jc w:val="right"/>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164 911,08</w:t>
            </w:r>
          </w:p>
        </w:tc>
        <w:tc>
          <w:tcPr>
            <w:tcW w:w="1134" w:type="dxa"/>
            <w:shd w:val="clear" w:color="auto" w:fill="auto"/>
            <w:noWrap/>
            <w:vAlign w:val="center"/>
            <w:hideMark/>
          </w:tcPr>
          <w:p w14:paraId="2553E5A8" w14:textId="77777777" w:rsidR="00140307" w:rsidRPr="00013553" w:rsidRDefault="00140307" w:rsidP="00140307">
            <w:pPr>
              <w:spacing w:after="0" w:line="240" w:lineRule="auto"/>
              <w:jc w:val="right"/>
              <w:rPr>
                <w:rFonts w:ascii="Times New Roman" w:eastAsia="Times New Roman" w:hAnsi="Times New Roman" w:cs="Times New Roman"/>
                <w:b/>
                <w:bCs/>
                <w:color w:val="000000"/>
                <w:sz w:val="12"/>
                <w:szCs w:val="12"/>
                <w:lang w:eastAsia="pl-PL"/>
              </w:rPr>
            </w:pPr>
            <w:r w:rsidRPr="00013553">
              <w:rPr>
                <w:rFonts w:ascii="Times New Roman" w:eastAsia="Times New Roman" w:hAnsi="Times New Roman" w:cs="Times New Roman"/>
                <w:b/>
                <w:bCs/>
                <w:color w:val="000000"/>
                <w:sz w:val="12"/>
                <w:szCs w:val="12"/>
                <w:lang w:eastAsia="pl-PL"/>
              </w:rPr>
              <w:t>-165 039,01</w:t>
            </w:r>
          </w:p>
        </w:tc>
        <w:tc>
          <w:tcPr>
            <w:tcW w:w="707" w:type="dxa"/>
            <w:vMerge/>
            <w:vAlign w:val="center"/>
          </w:tcPr>
          <w:p w14:paraId="1E9E1242" w14:textId="77777777" w:rsidR="00140307" w:rsidRPr="00013553" w:rsidRDefault="00140307" w:rsidP="00140307">
            <w:pPr>
              <w:spacing w:after="0" w:line="240" w:lineRule="auto"/>
              <w:jc w:val="right"/>
              <w:rPr>
                <w:rFonts w:ascii="Times New Roman" w:eastAsia="Times New Roman" w:hAnsi="Times New Roman" w:cs="Times New Roman"/>
                <w:b/>
                <w:bCs/>
                <w:color w:val="000000"/>
                <w:sz w:val="12"/>
                <w:szCs w:val="12"/>
                <w:lang w:eastAsia="pl-PL"/>
              </w:rPr>
            </w:pPr>
          </w:p>
        </w:tc>
      </w:tr>
      <w:tr w:rsidR="00140307" w:rsidRPr="00013553" w14:paraId="634E1FE6" w14:textId="77777777" w:rsidTr="00140307">
        <w:trPr>
          <w:trHeight w:val="227"/>
        </w:trPr>
        <w:tc>
          <w:tcPr>
            <w:tcW w:w="3758" w:type="dxa"/>
            <w:gridSpan w:val="3"/>
            <w:vAlign w:val="center"/>
          </w:tcPr>
          <w:p w14:paraId="7B9B68D9"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 xml:space="preserve">Fundusze własne:  </w:t>
            </w:r>
            <w:r w:rsidRPr="00013553">
              <w:rPr>
                <w:rFonts w:ascii="Times New Roman" w:eastAsia="Times New Roman" w:hAnsi="Times New Roman" w:cs="Times New Roman"/>
                <w:b/>
                <w:color w:val="000000"/>
                <w:sz w:val="12"/>
                <w:szCs w:val="12"/>
                <w:lang w:eastAsia="pl-PL"/>
              </w:rPr>
              <w:t>5 433 131,00</w:t>
            </w:r>
            <w:r w:rsidRPr="00013553">
              <w:rPr>
                <w:rFonts w:ascii="Times New Roman" w:eastAsia="Times New Roman" w:hAnsi="Times New Roman" w:cs="Times New Roman"/>
                <w:color w:val="000000"/>
                <w:sz w:val="12"/>
                <w:szCs w:val="12"/>
                <w:lang w:eastAsia="pl-PL"/>
              </w:rPr>
              <w:t xml:space="preserve"> </w:t>
            </w:r>
          </w:p>
        </w:tc>
        <w:tc>
          <w:tcPr>
            <w:tcW w:w="1134" w:type="dxa"/>
            <w:shd w:val="clear" w:color="auto" w:fill="auto"/>
            <w:noWrap/>
            <w:vAlign w:val="center"/>
            <w:hideMark/>
          </w:tcPr>
          <w:p w14:paraId="1412452B"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1,52%</w:t>
            </w:r>
          </w:p>
        </w:tc>
        <w:tc>
          <w:tcPr>
            <w:tcW w:w="1276" w:type="dxa"/>
            <w:shd w:val="clear" w:color="auto" w:fill="auto"/>
            <w:noWrap/>
            <w:vAlign w:val="center"/>
            <w:hideMark/>
          </w:tcPr>
          <w:p w14:paraId="1BF451AC"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-1,52%</w:t>
            </w:r>
          </w:p>
        </w:tc>
        <w:tc>
          <w:tcPr>
            <w:tcW w:w="1275" w:type="dxa"/>
            <w:shd w:val="clear" w:color="auto" w:fill="auto"/>
            <w:noWrap/>
            <w:vAlign w:val="center"/>
            <w:hideMark/>
          </w:tcPr>
          <w:p w14:paraId="06EDFF2A"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3,04%</w:t>
            </w:r>
          </w:p>
        </w:tc>
        <w:tc>
          <w:tcPr>
            <w:tcW w:w="1134" w:type="dxa"/>
            <w:shd w:val="clear" w:color="auto" w:fill="auto"/>
            <w:noWrap/>
            <w:vAlign w:val="center"/>
            <w:hideMark/>
          </w:tcPr>
          <w:p w14:paraId="7362B344"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-3,04%</w:t>
            </w:r>
          </w:p>
        </w:tc>
        <w:tc>
          <w:tcPr>
            <w:tcW w:w="707" w:type="dxa"/>
            <w:vAlign w:val="center"/>
          </w:tcPr>
          <w:p w14:paraId="2C841CB5"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6%</w:t>
            </w:r>
          </w:p>
        </w:tc>
      </w:tr>
      <w:tr w:rsidR="00140307" w:rsidRPr="00013553" w14:paraId="66951E7A" w14:textId="77777777" w:rsidTr="00140307">
        <w:trPr>
          <w:trHeight w:val="227"/>
        </w:trPr>
        <w:tc>
          <w:tcPr>
            <w:tcW w:w="3758" w:type="dxa"/>
            <w:gridSpan w:val="3"/>
            <w:vAlign w:val="center"/>
          </w:tcPr>
          <w:p w14:paraId="472A93B8" w14:textId="77777777" w:rsidR="00140307" w:rsidRPr="00013553" w:rsidRDefault="00140307" w:rsidP="00140307">
            <w:pPr>
              <w:spacing w:after="0" w:line="240" w:lineRule="auto"/>
              <w:jc w:val="right"/>
              <w:rPr>
                <w:rFonts w:ascii="Times New Roman" w:eastAsia="Times New Roman" w:hAnsi="Times New Roman" w:cs="Times New Roman"/>
                <w:color w:val="000000"/>
                <w:sz w:val="12"/>
                <w:szCs w:val="12"/>
                <w:lang w:eastAsia="pl-PL"/>
              </w:rPr>
            </w:pPr>
            <w:r w:rsidRPr="00013553">
              <w:rPr>
                <w:rFonts w:ascii="Times New Roman" w:eastAsia="Times New Roman" w:hAnsi="Times New Roman" w:cs="Times New Roman"/>
                <w:color w:val="000000"/>
                <w:sz w:val="12"/>
                <w:szCs w:val="12"/>
                <w:lang w:eastAsia="pl-PL"/>
              </w:rPr>
              <w:t>Wpływ na planowany roczny wynik odsetkowy (</w:t>
            </w:r>
            <w:r w:rsidRPr="00013553">
              <w:rPr>
                <w:rFonts w:ascii="Times New Roman" w:eastAsia="Times New Roman" w:hAnsi="Times New Roman" w:cs="Times New Roman"/>
                <w:b/>
                <w:i/>
                <w:color w:val="000000"/>
                <w:sz w:val="12"/>
                <w:szCs w:val="12"/>
                <w:lang w:eastAsia="pl-PL"/>
              </w:rPr>
              <w:t>2.087 tyś. zł</w:t>
            </w:r>
            <w:r w:rsidRPr="00013553">
              <w:rPr>
                <w:rFonts w:ascii="Times New Roman" w:eastAsia="Times New Roman" w:hAnsi="Times New Roman" w:cs="Times New Roman"/>
                <w:color w:val="000000"/>
                <w:sz w:val="12"/>
                <w:szCs w:val="12"/>
                <w:lang w:eastAsia="pl-PL"/>
              </w:rPr>
              <w:t>)</w:t>
            </w:r>
          </w:p>
        </w:tc>
        <w:tc>
          <w:tcPr>
            <w:tcW w:w="1134" w:type="dxa"/>
            <w:shd w:val="clear" w:color="auto" w:fill="auto"/>
            <w:noWrap/>
            <w:vAlign w:val="center"/>
          </w:tcPr>
          <w:p w14:paraId="4771D987"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3,95%</w:t>
            </w:r>
          </w:p>
        </w:tc>
        <w:tc>
          <w:tcPr>
            <w:tcW w:w="1276" w:type="dxa"/>
            <w:shd w:val="clear" w:color="auto" w:fill="auto"/>
            <w:noWrap/>
            <w:vAlign w:val="center"/>
          </w:tcPr>
          <w:p w14:paraId="75B2E828"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-3,95%</w:t>
            </w:r>
          </w:p>
        </w:tc>
        <w:tc>
          <w:tcPr>
            <w:tcW w:w="1275" w:type="dxa"/>
            <w:shd w:val="clear" w:color="auto" w:fill="auto"/>
            <w:noWrap/>
            <w:vAlign w:val="center"/>
          </w:tcPr>
          <w:p w14:paraId="6B8137BF"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7,90%</w:t>
            </w:r>
          </w:p>
        </w:tc>
        <w:tc>
          <w:tcPr>
            <w:tcW w:w="1134" w:type="dxa"/>
            <w:shd w:val="clear" w:color="auto" w:fill="auto"/>
            <w:noWrap/>
            <w:vAlign w:val="center"/>
          </w:tcPr>
          <w:p w14:paraId="574485E8"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-7,91%</w:t>
            </w:r>
          </w:p>
        </w:tc>
        <w:tc>
          <w:tcPr>
            <w:tcW w:w="707" w:type="dxa"/>
            <w:vAlign w:val="center"/>
          </w:tcPr>
          <w:p w14:paraId="7AD2084B" w14:textId="77777777" w:rsidR="00140307" w:rsidRPr="00013553" w:rsidRDefault="00140307" w:rsidP="00140307">
            <w:pPr>
              <w:spacing w:after="0" w:line="240" w:lineRule="auto"/>
              <w:jc w:val="right"/>
              <w:rPr>
                <w:rFonts w:ascii="Times New Roman" w:eastAsia="Times New Roman" w:hAnsi="Times New Roman" w:cs="Times New Roman"/>
                <w:b/>
                <w:bCs/>
                <w:i/>
                <w:iCs/>
                <w:color w:val="000000"/>
                <w:sz w:val="12"/>
                <w:szCs w:val="12"/>
                <w:lang w:eastAsia="pl-PL"/>
              </w:rPr>
            </w:pPr>
            <w:r w:rsidRPr="00013553">
              <w:rPr>
                <w:rFonts w:ascii="Times New Roman" w:eastAsia="Times New Roman" w:hAnsi="Times New Roman" w:cs="Times New Roman"/>
                <w:b/>
                <w:bCs/>
                <w:i/>
                <w:iCs/>
                <w:color w:val="000000"/>
                <w:sz w:val="12"/>
                <w:szCs w:val="12"/>
                <w:lang w:eastAsia="pl-PL"/>
              </w:rPr>
              <w:t>11%</w:t>
            </w:r>
          </w:p>
        </w:tc>
      </w:tr>
    </w:tbl>
    <w:p w14:paraId="774E6F19" w14:textId="77777777" w:rsidR="00140307" w:rsidRDefault="00140307" w:rsidP="006E0F4F">
      <w:pPr>
        <w:spacing w:line="240" w:lineRule="auto"/>
        <w:ind w:firstLine="340"/>
        <w:jc w:val="both"/>
        <w:rPr>
          <w:rFonts w:ascii="Times New Roman" w:hAnsi="Times New Roman" w:cs="Times New Roman"/>
        </w:rPr>
      </w:pPr>
    </w:p>
    <w:p w14:paraId="3033A0AE" w14:textId="77777777" w:rsidR="00140307" w:rsidRDefault="00140307" w:rsidP="006E0F4F">
      <w:pPr>
        <w:spacing w:line="240" w:lineRule="auto"/>
        <w:ind w:firstLine="340"/>
        <w:jc w:val="both"/>
        <w:rPr>
          <w:rFonts w:ascii="Times New Roman" w:hAnsi="Times New Roman" w:cs="Times New Roman"/>
          <w:sz w:val="20"/>
        </w:rPr>
      </w:pPr>
    </w:p>
    <w:p w14:paraId="47A7ED35" w14:textId="77777777" w:rsidR="00140307" w:rsidRDefault="00140307" w:rsidP="00140307">
      <w:pPr>
        <w:jc w:val="both"/>
        <w:rPr>
          <w:rFonts w:ascii="Times New Roman" w:hAnsi="Times New Roman" w:cs="Times New Roman"/>
          <w:sz w:val="20"/>
          <w:szCs w:val="20"/>
        </w:rPr>
      </w:pPr>
      <w:r>
        <w:rPr>
          <w:rFonts w:ascii="Times New Roman" w:hAnsi="Times New Roman" w:cs="Times New Roman"/>
          <w:sz w:val="20"/>
        </w:rPr>
        <w:lastRenderedPageBreak/>
        <w:t xml:space="preserve">Opierając się na danych zawartych w tabeli powyżej zauważyć można, iż obniżenie stóp procentowych o 100pb spowoduje zmianę wyniku odsetkowego o 165,04 tyś. zł, tj. o 3,04% FW (limit 6%). </w:t>
      </w:r>
      <w:r>
        <w:rPr>
          <w:rFonts w:ascii="Times New Roman" w:hAnsi="Times New Roman" w:cs="Times New Roman"/>
          <w:sz w:val="20"/>
          <w:szCs w:val="20"/>
          <w:highlight w:val="white"/>
        </w:rPr>
        <w:t>Powyższa zmiana stanowiła</w:t>
      </w:r>
      <w:r w:rsidRPr="00013553">
        <w:rPr>
          <w:rFonts w:ascii="Times New Roman" w:hAnsi="Times New Roman" w:cs="Times New Roman"/>
          <w:sz w:val="20"/>
          <w:szCs w:val="20"/>
          <w:highlight w:val="white"/>
        </w:rPr>
        <w:t xml:space="preserve">by </w:t>
      </w:r>
      <w:r w:rsidRPr="00013553">
        <w:rPr>
          <w:rFonts w:ascii="Times New Roman" w:hAnsi="Times New Roman" w:cs="Times New Roman"/>
          <w:sz w:val="20"/>
          <w:szCs w:val="20"/>
        </w:rPr>
        <w:t xml:space="preserve">7,91% </w:t>
      </w:r>
      <w:r w:rsidRPr="00013553">
        <w:rPr>
          <w:rFonts w:ascii="Times New Roman" w:hAnsi="Times New Roman" w:cs="Times New Roman"/>
          <w:sz w:val="20"/>
          <w:szCs w:val="20"/>
          <w:highlight w:val="white"/>
        </w:rPr>
        <w:t>planowanego wyniku</w:t>
      </w:r>
      <w:r>
        <w:rPr>
          <w:rFonts w:ascii="Times New Roman" w:hAnsi="Times New Roman" w:cs="Times New Roman"/>
          <w:sz w:val="20"/>
          <w:szCs w:val="20"/>
          <w:highlight w:val="white"/>
        </w:rPr>
        <w:t xml:space="preserve"> odsetkowego na koniec 2019r.</w:t>
      </w:r>
      <w:r w:rsidRPr="00013553">
        <w:rPr>
          <w:rFonts w:ascii="Times New Roman" w:hAnsi="Times New Roman" w:cs="Times New Roman"/>
          <w:sz w:val="20"/>
          <w:szCs w:val="20"/>
          <w:highlight w:val="white"/>
        </w:rPr>
        <w:t xml:space="preserve"> </w:t>
      </w:r>
    </w:p>
    <w:bookmarkEnd w:id="0"/>
    <w:p w14:paraId="0CA78501" w14:textId="77777777" w:rsidR="00140307" w:rsidRDefault="00140307" w:rsidP="00140307">
      <w:pPr>
        <w:spacing w:after="0"/>
        <w:jc w:val="both"/>
        <w:rPr>
          <w:rFonts w:ascii="Times New Roman" w:hAnsi="Times New Roman" w:cs="Times New Roman"/>
          <w:sz w:val="20"/>
          <w:szCs w:val="16"/>
        </w:rPr>
      </w:pPr>
      <w:r w:rsidRPr="00013553">
        <w:rPr>
          <w:rFonts w:ascii="Times New Roman" w:hAnsi="Times New Roman" w:cs="Times New Roman"/>
          <w:sz w:val="20"/>
          <w:szCs w:val="16"/>
        </w:rPr>
        <w:t>Miara wartości ekonomicznej reprezentuje koszt utraconych korzyści wynikających z aktualnej pozycji stopy procentowej banku, które mogłyby powiększyć kapitał banku.</w:t>
      </w:r>
      <w:r>
        <w:rPr>
          <w:rFonts w:ascii="Times New Roman" w:hAnsi="Times New Roman" w:cs="Times New Roman"/>
          <w:sz w:val="20"/>
          <w:szCs w:val="16"/>
        </w:rPr>
        <w:t xml:space="preserve"> Kalkulacja przeprowadzana jest również z wykorzystaniem syntetycznej luki przeszacowania, przy czym (zgodnie z wytycznymi EBA/GL/2018/02 z dnia 19 lipca 2018r.) dodatnie wartości zmian są korygowane o 50% wartości. Poniższa tabela przedstawia jaki wpływ miałaby zmiana stóp procentowych na wartość ekonomiczną kapitału.</w:t>
      </w:r>
    </w:p>
    <w:p w14:paraId="11A6363B" w14:textId="77777777" w:rsidR="00140307" w:rsidRDefault="00140307" w:rsidP="00140307">
      <w:pPr>
        <w:spacing w:after="0" w:line="240" w:lineRule="auto"/>
        <w:jc w:val="both"/>
        <w:rPr>
          <w:rFonts w:ascii="Times New Roman" w:hAnsi="Times New Roman" w:cs="Times New Roman"/>
          <w:sz w:val="20"/>
          <w:szCs w:val="16"/>
        </w:rPr>
      </w:pPr>
    </w:p>
    <w:tbl>
      <w:tblPr>
        <w:tblStyle w:val="Tabela-Siatka"/>
        <w:tblW w:w="0" w:type="auto"/>
        <w:tblLook w:val="04A0" w:firstRow="1" w:lastRow="0" w:firstColumn="1" w:lastColumn="0" w:noHBand="0" w:noVBand="1"/>
      </w:tblPr>
      <w:tblGrid>
        <w:gridCol w:w="2943"/>
        <w:gridCol w:w="1276"/>
        <w:gridCol w:w="1276"/>
        <w:gridCol w:w="1276"/>
        <w:gridCol w:w="1275"/>
        <w:gridCol w:w="1240"/>
      </w:tblGrid>
      <w:tr w:rsidR="00140307" w:rsidRPr="002906D1" w14:paraId="3E09B2CA" w14:textId="77777777" w:rsidTr="00140307">
        <w:trPr>
          <w:trHeight w:val="227"/>
        </w:trPr>
        <w:tc>
          <w:tcPr>
            <w:tcW w:w="2943" w:type="dxa"/>
            <w:vAlign w:val="center"/>
          </w:tcPr>
          <w:p w14:paraId="307B381F" w14:textId="77777777" w:rsidR="00140307" w:rsidRPr="002906D1" w:rsidRDefault="00140307" w:rsidP="00140307">
            <w:pPr>
              <w:jc w:val="center"/>
              <w:rPr>
                <w:rFonts w:ascii="Times New Roman" w:eastAsia="Times New Roman" w:hAnsi="Times New Roman" w:cs="Times New Roman"/>
                <w:b/>
                <w:bCs/>
                <w:color w:val="000000"/>
                <w:sz w:val="18"/>
                <w:szCs w:val="18"/>
                <w:lang w:eastAsia="pl-PL"/>
              </w:rPr>
            </w:pPr>
          </w:p>
        </w:tc>
        <w:tc>
          <w:tcPr>
            <w:tcW w:w="1276" w:type="dxa"/>
            <w:vAlign w:val="center"/>
          </w:tcPr>
          <w:p w14:paraId="0224CA11" w14:textId="77777777" w:rsidR="00140307" w:rsidRPr="002906D1" w:rsidRDefault="00140307" w:rsidP="00140307">
            <w:pPr>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50pb +</w:t>
            </w:r>
          </w:p>
        </w:tc>
        <w:tc>
          <w:tcPr>
            <w:tcW w:w="1276" w:type="dxa"/>
            <w:vAlign w:val="center"/>
          </w:tcPr>
          <w:p w14:paraId="5868A89E" w14:textId="77777777" w:rsidR="00140307" w:rsidRPr="002906D1" w:rsidRDefault="00140307" w:rsidP="00140307">
            <w:pPr>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50pb -</w:t>
            </w:r>
          </w:p>
        </w:tc>
        <w:tc>
          <w:tcPr>
            <w:tcW w:w="1276" w:type="dxa"/>
            <w:vAlign w:val="center"/>
          </w:tcPr>
          <w:p w14:paraId="4219A951" w14:textId="77777777" w:rsidR="00140307" w:rsidRPr="002906D1" w:rsidRDefault="00140307" w:rsidP="00140307">
            <w:pPr>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100pb +</w:t>
            </w:r>
          </w:p>
        </w:tc>
        <w:tc>
          <w:tcPr>
            <w:tcW w:w="1275" w:type="dxa"/>
            <w:vAlign w:val="center"/>
          </w:tcPr>
          <w:p w14:paraId="6D8152D4" w14:textId="77777777" w:rsidR="00140307" w:rsidRPr="002906D1" w:rsidRDefault="00140307" w:rsidP="00140307">
            <w:pPr>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100pb -</w:t>
            </w:r>
          </w:p>
        </w:tc>
        <w:tc>
          <w:tcPr>
            <w:tcW w:w="1240" w:type="dxa"/>
            <w:vAlign w:val="center"/>
          </w:tcPr>
          <w:p w14:paraId="15537705" w14:textId="77777777" w:rsidR="00140307" w:rsidRPr="002906D1" w:rsidRDefault="00140307" w:rsidP="00140307">
            <w:pPr>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Limit wewnętrzny</w:t>
            </w:r>
          </w:p>
        </w:tc>
      </w:tr>
      <w:tr w:rsidR="00140307" w:rsidRPr="002906D1" w14:paraId="2DB125F2" w14:textId="77777777" w:rsidTr="00140307">
        <w:trPr>
          <w:trHeight w:val="227"/>
        </w:trPr>
        <w:tc>
          <w:tcPr>
            <w:tcW w:w="2943" w:type="dxa"/>
            <w:vAlign w:val="center"/>
          </w:tcPr>
          <w:p w14:paraId="151CBD29" w14:textId="77777777" w:rsidR="00140307" w:rsidRPr="002906D1" w:rsidRDefault="00140307" w:rsidP="00140307">
            <w:pPr>
              <w:rPr>
                <w:rFonts w:ascii="Times New Roman" w:hAnsi="Times New Roman" w:cs="Times New Roman"/>
                <w:b/>
                <w:i/>
                <w:sz w:val="18"/>
                <w:szCs w:val="18"/>
              </w:rPr>
            </w:pPr>
            <w:r w:rsidRPr="002906D1">
              <w:rPr>
                <w:rFonts w:ascii="Times New Roman" w:hAnsi="Times New Roman" w:cs="Times New Roman"/>
                <w:b/>
                <w:i/>
                <w:sz w:val="18"/>
                <w:szCs w:val="18"/>
              </w:rPr>
              <w:t>Zmiana wartości ekonomicznej kapitału (wartościowo)</w:t>
            </w:r>
          </w:p>
        </w:tc>
        <w:tc>
          <w:tcPr>
            <w:tcW w:w="1276" w:type="dxa"/>
            <w:vAlign w:val="center"/>
          </w:tcPr>
          <w:p w14:paraId="0A919634" w14:textId="77777777" w:rsidR="00140307" w:rsidRPr="002906D1" w:rsidRDefault="00140307" w:rsidP="00140307">
            <w:pPr>
              <w:jc w:val="center"/>
              <w:rPr>
                <w:rFonts w:ascii="Times New Roman" w:hAnsi="Times New Roman" w:cs="Times New Roman"/>
                <w:sz w:val="18"/>
                <w:szCs w:val="18"/>
              </w:rPr>
            </w:pPr>
            <w:r w:rsidRPr="002906D1">
              <w:rPr>
                <w:rFonts w:ascii="Times New Roman" w:hAnsi="Times New Roman" w:cs="Times New Roman"/>
                <w:sz w:val="18"/>
                <w:szCs w:val="18"/>
              </w:rPr>
              <w:t>22.254,84</w:t>
            </w:r>
          </w:p>
        </w:tc>
        <w:tc>
          <w:tcPr>
            <w:tcW w:w="1276" w:type="dxa"/>
            <w:vAlign w:val="center"/>
          </w:tcPr>
          <w:p w14:paraId="0E3C073C" w14:textId="77777777" w:rsidR="00140307" w:rsidRPr="002906D1" w:rsidRDefault="00140307" w:rsidP="00140307">
            <w:pPr>
              <w:jc w:val="center"/>
              <w:rPr>
                <w:rFonts w:ascii="Times New Roman" w:hAnsi="Times New Roman" w:cs="Times New Roman"/>
                <w:sz w:val="18"/>
                <w:szCs w:val="18"/>
              </w:rPr>
            </w:pPr>
            <w:r w:rsidRPr="002906D1">
              <w:rPr>
                <w:rFonts w:ascii="Times New Roman" w:hAnsi="Times New Roman" w:cs="Times New Roman"/>
                <w:sz w:val="18"/>
                <w:szCs w:val="18"/>
              </w:rPr>
              <w:t>-73.210,94</w:t>
            </w:r>
          </w:p>
        </w:tc>
        <w:tc>
          <w:tcPr>
            <w:tcW w:w="1276" w:type="dxa"/>
            <w:vAlign w:val="center"/>
          </w:tcPr>
          <w:p w14:paraId="2FEE4112" w14:textId="77777777" w:rsidR="00140307" w:rsidRPr="002906D1" w:rsidRDefault="00140307" w:rsidP="00140307">
            <w:pPr>
              <w:jc w:val="center"/>
              <w:rPr>
                <w:rFonts w:ascii="Times New Roman" w:hAnsi="Times New Roman" w:cs="Times New Roman"/>
                <w:sz w:val="18"/>
                <w:szCs w:val="18"/>
              </w:rPr>
            </w:pPr>
            <w:r w:rsidRPr="002906D1">
              <w:rPr>
                <w:rFonts w:ascii="Times New Roman" w:hAnsi="Times New Roman" w:cs="Times New Roman"/>
                <w:sz w:val="18"/>
                <w:szCs w:val="18"/>
              </w:rPr>
              <w:t>44.509,69</w:t>
            </w:r>
          </w:p>
        </w:tc>
        <w:tc>
          <w:tcPr>
            <w:tcW w:w="1275" w:type="dxa"/>
            <w:vAlign w:val="center"/>
          </w:tcPr>
          <w:p w14:paraId="624312D3" w14:textId="77777777" w:rsidR="00140307" w:rsidRPr="002906D1" w:rsidRDefault="00140307" w:rsidP="00140307">
            <w:pPr>
              <w:jc w:val="center"/>
              <w:rPr>
                <w:rFonts w:ascii="Times New Roman" w:hAnsi="Times New Roman" w:cs="Times New Roman"/>
                <w:sz w:val="18"/>
                <w:szCs w:val="18"/>
              </w:rPr>
            </w:pPr>
            <w:r w:rsidRPr="002906D1">
              <w:rPr>
                <w:rFonts w:ascii="Times New Roman" w:hAnsi="Times New Roman" w:cs="Times New Roman"/>
                <w:sz w:val="18"/>
                <w:szCs w:val="18"/>
              </w:rPr>
              <w:t>-146.421,89</w:t>
            </w:r>
          </w:p>
        </w:tc>
        <w:tc>
          <w:tcPr>
            <w:tcW w:w="1240" w:type="dxa"/>
            <w:vAlign w:val="center"/>
          </w:tcPr>
          <w:p w14:paraId="423606D6" w14:textId="77777777" w:rsidR="00140307" w:rsidRPr="002906D1" w:rsidRDefault="00140307" w:rsidP="00140307">
            <w:pPr>
              <w:jc w:val="center"/>
              <w:rPr>
                <w:rFonts w:ascii="Times New Roman" w:hAnsi="Times New Roman" w:cs="Times New Roman"/>
                <w:sz w:val="18"/>
                <w:szCs w:val="18"/>
              </w:rPr>
            </w:pPr>
            <w:r w:rsidRPr="002906D1">
              <w:rPr>
                <w:rFonts w:ascii="Times New Roman" w:hAnsi="Times New Roman" w:cs="Times New Roman"/>
                <w:sz w:val="18"/>
                <w:szCs w:val="18"/>
              </w:rPr>
              <w:t>9% FW</w:t>
            </w:r>
          </w:p>
        </w:tc>
      </w:tr>
      <w:tr w:rsidR="00140307" w:rsidRPr="002906D1" w14:paraId="2679346D" w14:textId="77777777" w:rsidTr="00140307">
        <w:trPr>
          <w:trHeight w:val="227"/>
        </w:trPr>
        <w:tc>
          <w:tcPr>
            <w:tcW w:w="2943" w:type="dxa"/>
            <w:vAlign w:val="center"/>
          </w:tcPr>
          <w:p w14:paraId="00098577" w14:textId="77777777" w:rsidR="00140307" w:rsidRPr="002906D1" w:rsidRDefault="00140307" w:rsidP="00140307">
            <w:pPr>
              <w:rPr>
                <w:rFonts w:ascii="Times New Roman" w:hAnsi="Times New Roman" w:cs="Times New Roman"/>
                <w:b/>
                <w:i/>
                <w:sz w:val="18"/>
                <w:szCs w:val="18"/>
              </w:rPr>
            </w:pPr>
            <w:r w:rsidRPr="002906D1">
              <w:rPr>
                <w:rFonts w:ascii="Times New Roman" w:hAnsi="Times New Roman" w:cs="Times New Roman"/>
                <w:b/>
                <w:i/>
                <w:sz w:val="18"/>
                <w:szCs w:val="18"/>
              </w:rPr>
              <w:t>Zmiana wartości ekonomicznej kapitału / FW</w:t>
            </w:r>
          </w:p>
        </w:tc>
        <w:tc>
          <w:tcPr>
            <w:tcW w:w="1276" w:type="dxa"/>
            <w:vAlign w:val="center"/>
          </w:tcPr>
          <w:p w14:paraId="0851E3D3" w14:textId="77777777" w:rsidR="00140307" w:rsidRPr="002906D1" w:rsidRDefault="00140307" w:rsidP="00140307">
            <w:pPr>
              <w:jc w:val="center"/>
              <w:rPr>
                <w:rFonts w:ascii="Times New Roman" w:hAnsi="Times New Roman" w:cs="Times New Roman"/>
                <w:b/>
                <w:i/>
                <w:sz w:val="18"/>
                <w:szCs w:val="18"/>
              </w:rPr>
            </w:pPr>
            <w:r w:rsidRPr="002906D1">
              <w:rPr>
                <w:rFonts w:ascii="Times New Roman" w:hAnsi="Times New Roman" w:cs="Times New Roman"/>
                <w:b/>
                <w:i/>
                <w:sz w:val="18"/>
                <w:szCs w:val="18"/>
              </w:rPr>
              <w:t>0,41%</w:t>
            </w:r>
          </w:p>
        </w:tc>
        <w:tc>
          <w:tcPr>
            <w:tcW w:w="1276" w:type="dxa"/>
            <w:vAlign w:val="center"/>
          </w:tcPr>
          <w:p w14:paraId="489DD4F8" w14:textId="77777777" w:rsidR="00140307" w:rsidRPr="002906D1" w:rsidRDefault="00140307" w:rsidP="00140307">
            <w:pPr>
              <w:jc w:val="center"/>
              <w:rPr>
                <w:rFonts w:ascii="Times New Roman" w:hAnsi="Times New Roman" w:cs="Times New Roman"/>
                <w:b/>
                <w:i/>
                <w:sz w:val="18"/>
                <w:szCs w:val="18"/>
              </w:rPr>
            </w:pPr>
            <w:r w:rsidRPr="002906D1">
              <w:rPr>
                <w:rFonts w:ascii="Times New Roman" w:hAnsi="Times New Roman" w:cs="Times New Roman"/>
                <w:b/>
                <w:i/>
                <w:sz w:val="18"/>
                <w:szCs w:val="18"/>
              </w:rPr>
              <w:t>1,35%</w:t>
            </w:r>
          </w:p>
        </w:tc>
        <w:tc>
          <w:tcPr>
            <w:tcW w:w="1276" w:type="dxa"/>
            <w:vAlign w:val="center"/>
          </w:tcPr>
          <w:p w14:paraId="6A0001E1" w14:textId="77777777" w:rsidR="00140307" w:rsidRPr="002906D1" w:rsidRDefault="00140307" w:rsidP="00140307">
            <w:pPr>
              <w:jc w:val="center"/>
              <w:rPr>
                <w:rFonts w:ascii="Times New Roman" w:hAnsi="Times New Roman" w:cs="Times New Roman"/>
                <w:b/>
                <w:i/>
                <w:sz w:val="18"/>
                <w:szCs w:val="18"/>
              </w:rPr>
            </w:pPr>
            <w:r w:rsidRPr="002906D1">
              <w:rPr>
                <w:rFonts w:ascii="Times New Roman" w:hAnsi="Times New Roman" w:cs="Times New Roman"/>
                <w:b/>
                <w:i/>
                <w:sz w:val="18"/>
                <w:szCs w:val="18"/>
              </w:rPr>
              <w:t>0,82%</w:t>
            </w:r>
          </w:p>
        </w:tc>
        <w:tc>
          <w:tcPr>
            <w:tcW w:w="1275" w:type="dxa"/>
            <w:vAlign w:val="center"/>
          </w:tcPr>
          <w:p w14:paraId="1D550FEC" w14:textId="77777777" w:rsidR="00140307" w:rsidRPr="002906D1" w:rsidRDefault="00140307" w:rsidP="00140307">
            <w:pPr>
              <w:jc w:val="center"/>
              <w:rPr>
                <w:rFonts w:ascii="Times New Roman" w:hAnsi="Times New Roman" w:cs="Times New Roman"/>
                <w:b/>
                <w:i/>
                <w:sz w:val="18"/>
                <w:szCs w:val="18"/>
              </w:rPr>
            </w:pPr>
            <w:r w:rsidRPr="002906D1">
              <w:rPr>
                <w:rFonts w:ascii="Times New Roman" w:hAnsi="Times New Roman" w:cs="Times New Roman"/>
                <w:b/>
                <w:i/>
                <w:sz w:val="18"/>
                <w:szCs w:val="18"/>
              </w:rPr>
              <w:t>2,70%</w:t>
            </w:r>
          </w:p>
        </w:tc>
        <w:tc>
          <w:tcPr>
            <w:tcW w:w="1240" w:type="dxa"/>
            <w:vAlign w:val="center"/>
          </w:tcPr>
          <w:p w14:paraId="63509BE3" w14:textId="77777777" w:rsidR="00140307" w:rsidRPr="002906D1" w:rsidRDefault="00140307" w:rsidP="00140307">
            <w:pPr>
              <w:jc w:val="center"/>
              <w:rPr>
                <w:rFonts w:ascii="Times New Roman" w:hAnsi="Times New Roman" w:cs="Times New Roman"/>
                <w:sz w:val="18"/>
                <w:szCs w:val="18"/>
              </w:rPr>
            </w:pPr>
            <w:r w:rsidRPr="002906D1">
              <w:rPr>
                <w:rFonts w:ascii="Times New Roman" w:hAnsi="Times New Roman" w:cs="Times New Roman"/>
                <w:sz w:val="18"/>
                <w:szCs w:val="18"/>
              </w:rPr>
              <w:t>9% FW</w:t>
            </w:r>
          </w:p>
        </w:tc>
      </w:tr>
    </w:tbl>
    <w:p w14:paraId="19907035" w14:textId="77777777" w:rsidR="00140307" w:rsidRDefault="00140307" w:rsidP="006E0F4F">
      <w:pPr>
        <w:spacing w:line="240" w:lineRule="auto"/>
        <w:ind w:firstLine="340"/>
        <w:jc w:val="both"/>
        <w:rPr>
          <w:rFonts w:ascii="Times New Roman" w:hAnsi="Times New Roman" w:cs="Times New Roman"/>
        </w:rPr>
      </w:pPr>
    </w:p>
    <w:p w14:paraId="552D70AD" w14:textId="164D680C" w:rsidR="00140307" w:rsidRDefault="00140307" w:rsidP="00140307">
      <w:pPr>
        <w:spacing w:line="360" w:lineRule="auto"/>
        <w:jc w:val="both"/>
        <w:rPr>
          <w:rFonts w:ascii="Times New Roman" w:hAnsi="Times New Roman" w:cs="Times New Roman"/>
          <w:sz w:val="20"/>
        </w:rPr>
      </w:pPr>
      <w:r>
        <w:rPr>
          <w:rFonts w:ascii="Times New Roman" w:hAnsi="Times New Roman" w:cs="Times New Roman"/>
          <w:sz w:val="20"/>
        </w:rPr>
        <w:t>Analiza wskazuje, że obniżenie stóp procentowych o 100pb spowoduje zmianę wartości ekonomicznej kapitału o 146,42 tyś. zł, tj. o 2,70% FW (limit wewnętrzny banku 9%).</w:t>
      </w:r>
    </w:p>
    <w:p w14:paraId="40000A49" w14:textId="77777777" w:rsidR="00140307" w:rsidRPr="00013553" w:rsidRDefault="00140307" w:rsidP="00140307">
      <w:pPr>
        <w:spacing w:after="0"/>
        <w:jc w:val="both"/>
        <w:rPr>
          <w:rFonts w:ascii="Times New Roman" w:hAnsi="Times New Roman" w:cs="Times New Roman"/>
          <w:sz w:val="20"/>
          <w:szCs w:val="20"/>
        </w:rPr>
      </w:pPr>
      <w:r w:rsidRPr="00013553">
        <w:rPr>
          <w:rFonts w:ascii="Times New Roman" w:hAnsi="Times New Roman" w:cs="Times New Roman"/>
          <w:sz w:val="20"/>
          <w:szCs w:val="20"/>
        </w:rPr>
        <w:t>W ramach TWS Bank Spółdzielczy w Podegrodziu przeprowadza następujące testy:</w:t>
      </w:r>
    </w:p>
    <w:p w14:paraId="5C975787" w14:textId="77777777" w:rsidR="00140307" w:rsidRPr="00013553" w:rsidRDefault="00140307" w:rsidP="00140307">
      <w:pPr>
        <w:pStyle w:val="Akapitzlist"/>
        <w:numPr>
          <w:ilvl w:val="0"/>
          <w:numId w:val="43"/>
        </w:numPr>
        <w:spacing w:after="0"/>
        <w:jc w:val="both"/>
        <w:rPr>
          <w:rFonts w:ascii="Times New Roman" w:hAnsi="Times New Roman" w:cs="Times New Roman"/>
          <w:sz w:val="20"/>
          <w:szCs w:val="20"/>
        </w:rPr>
      </w:pPr>
      <w:r w:rsidRPr="00013553">
        <w:rPr>
          <w:rFonts w:ascii="Times New Roman" w:hAnsi="Times New Roman" w:cs="Times New Roman"/>
          <w:sz w:val="20"/>
          <w:szCs w:val="20"/>
        </w:rPr>
        <w:t>Wpływ nagłego równoległego przesunięcia krzywej dochodowości o +/-200pb na wartość ekonomiczną kapitału;</w:t>
      </w:r>
    </w:p>
    <w:p w14:paraId="3505BB0C" w14:textId="77777777" w:rsidR="00140307" w:rsidRPr="00013553" w:rsidRDefault="00140307" w:rsidP="00140307">
      <w:pPr>
        <w:pStyle w:val="Akapitzlist"/>
        <w:numPr>
          <w:ilvl w:val="0"/>
          <w:numId w:val="43"/>
        </w:numPr>
        <w:spacing w:after="0"/>
        <w:jc w:val="both"/>
        <w:rPr>
          <w:rFonts w:ascii="Times New Roman" w:hAnsi="Times New Roman" w:cs="Times New Roman"/>
          <w:sz w:val="20"/>
          <w:szCs w:val="20"/>
        </w:rPr>
      </w:pPr>
      <w:r w:rsidRPr="00013553">
        <w:rPr>
          <w:rFonts w:ascii="Times New Roman" w:hAnsi="Times New Roman" w:cs="Times New Roman"/>
          <w:sz w:val="20"/>
          <w:szCs w:val="20"/>
        </w:rPr>
        <w:t>Wpływ scenariuszy szokowych zmian stóp procentowych na wartość ekonomiczną kapitału w ramach standardowego testu wartości odstających:</w:t>
      </w:r>
    </w:p>
    <w:p w14:paraId="37E58F81" w14:textId="77777777" w:rsidR="00140307" w:rsidRPr="00013553" w:rsidRDefault="00140307" w:rsidP="00140307">
      <w:pPr>
        <w:pStyle w:val="Akapitzlist"/>
        <w:numPr>
          <w:ilvl w:val="0"/>
          <w:numId w:val="44"/>
        </w:numPr>
        <w:spacing w:after="0"/>
        <w:jc w:val="both"/>
        <w:rPr>
          <w:rFonts w:ascii="Times New Roman" w:hAnsi="Times New Roman" w:cs="Times New Roman"/>
          <w:sz w:val="20"/>
          <w:szCs w:val="20"/>
        </w:rPr>
      </w:pPr>
      <w:r w:rsidRPr="00013553">
        <w:rPr>
          <w:rFonts w:ascii="Times New Roman" w:hAnsi="Times New Roman" w:cs="Times New Roman"/>
          <w:sz w:val="20"/>
          <w:szCs w:val="20"/>
        </w:rPr>
        <w:t>równoległy wzrost stóp procentowych;</w:t>
      </w:r>
    </w:p>
    <w:p w14:paraId="7CBF2106" w14:textId="77777777" w:rsidR="00140307" w:rsidRPr="00013553" w:rsidRDefault="00140307" w:rsidP="00140307">
      <w:pPr>
        <w:pStyle w:val="Akapitzlist"/>
        <w:numPr>
          <w:ilvl w:val="0"/>
          <w:numId w:val="44"/>
        </w:numPr>
        <w:spacing w:after="0"/>
        <w:jc w:val="both"/>
        <w:rPr>
          <w:rFonts w:ascii="Times New Roman" w:hAnsi="Times New Roman" w:cs="Times New Roman"/>
          <w:sz w:val="20"/>
          <w:szCs w:val="20"/>
        </w:rPr>
      </w:pPr>
      <w:r w:rsidRPr="00013553">
        <w:rPr>
          <w:rFonts w:ascii="Times New Roman" w:hAnsi="Times New Roman" w:cs="Times New Roman"/>
          <w:sz w:val="20"/>
          <w:szCs w:val="20"/>
        </w:rPr>
        <w:t>równoległy spadek stóp procentowych;</w:t>
      </w:r>
    </w:p>
    <w:p w14:paraId="4B62E93A" w14:textId="77777777" w:rsidR="00140307" w:rsidRPr="00013553" w:rsidRDefault="00140307" w:rsidP="00140307">
      <w:pPr>
        <w:pStyle w:val="Akapitzlist"/>
        <w:numPr>
          <w:ilvl w:val="0"/>
          <w:numId w:val="44"/>
        </w:numPr>
        <w:spacing w:after="0"/>
        <w:jc w:val="both"/>
        <w:rPr>
          <w:rFonts w:ascii="Times New Roman" w:hAnsi="Times New Roman" w:cs="Times New Roman"/>
          <w:sz w:val="20"/>
          <w:szCs w:val="20"/>
        </w:rPr>
      </w:pPr>
      <w:r w:rsidRPr="00013553">
        <w:rPr>
          <w:rFonts w:ascii="Times New Roman" w:hAnsi="Times New Roman" w:cs="Times New Roman"/>
          <w:sz w:val="20"/>
          <w:szCs w:val="20"/>
        </w:rPr>
        <w:t>szok gwałtowny (spadek stóp krótkoterminowych i wzrost stóp długoterminowych);</w:t>
      </w:r>
    </w:p>
    <w:p w14:paraId="2C9A2E43" w14:textId="77777777" w:rsidR="00140307" w:rsidRPr="00013553" w:rsidRDefault="00140307" w:rsidP="00140307">
      <w:pPr>
        <w:pStyle w:val="Akapitzlist"/>
        <w:numPr>
          <w:ilvl w:val="0"/>
          <w:numId w:val="44"/>
        </w:numPr>
        <w:spacing w:after="0"/>
        <w:jc w:val="both"/>
        <w:rPr>
          <w:rFonts w:ascii="Times New Roman" w:hAnsi="Times New Roman" w:cs="Times New Roman"/>
          <w:sz w:val="20"/>
          <w:szCs w:val="20"/>
        </w:rPr>
      </w:pPr>
      <w:r w:rsidRPr="00013553">
        <w:rPr>
          <w:rFonts w:ascii="Times New Roman" w:hAnsi="Times New Roman" w:cs="Times New Roman"/>
          <w:sz w:val="20"/>
          <w:szCs w:val="20"/>
        </w:rPr>
        <w:t>szok umiarkowany (wzrost stóp procentowych i spadek stóp długoterminowych);</w:t>
      </w:r>
    </w:p>
    <w:p w14:paraId="31ED922A" w14:textId="77777777" w:rsidR="00140307" w:rsidRPr="00013553" w:rsidRDefault="00140307" w:rsidP="00140307">
      <w:pPr>
        <w:pStyle w:val="Akapitzlist"/>
        <w:numPr>
          <w:ilvl w:val="0"/>
          <w:numId w:val="44"/>
        </w:numPr>
        <w:spacing w:after="0"/>
        <w:jc w:val="both"/>
        <w:rPr>
          <w:rFonts w:ascii="Times New Roman" w:hAnsi="Times New Roman" w:cs="Times New Roman"/>
          <w:sz w:val="20"/>
          <w:szCs w:val="20"/>
        </w:rPr>
      </w:pPr>
      <w:r w:rsidRPr="00013553">
        <w:rPr>
          <w:rFonts w:ascii="Times New Roman" w:hAnsi="Times New Roman" w:cs="Times New Roman"/>
          <w:sz w:val="20"/>
          <w:szCs w:val="20"/>
        </w:rPr>
        <w:t>wzrost stóp krótkoterminowych;</w:t>
      </w:r>
    </w:p>
    <w:p w14:paraId="020D163A" w14:textId="77777777" w:rsidR="00140307" w:rsidRPr="00013553" w:rsidRDefault="00140307" w:rsidP="00140307">
      <w:pPr>
        <w:pStyle w:val="Akapitzlist"/>
        <w:numPr>
          <w:ilvl w:val="0"/>
          <w:numId w:val="44"/>
        </w:numPr>
        <w:spacing w:after="0"/>
        <w:jc w:val="both"/>
        <w:rPr>
          <w:rFonts w:ascii="Times New Roman" w:hAnsi="Times New Roman" w:cs="Times New Roman"/>
          <w:sz w:val="20"/>
          <w:szCs w:val="20"/>
        </w:rPr>
      </w:pPr>
      <w:r w:rsidRPr="00013553">
        <w:rPr>
          <w:rFonts w:ascii="Times New Roman" w:hAnsi="Times New Roman" w:cs="Times New Roman"/>
          <w:sz w:val="20"/>
          <w:szCs w:val="20"/>
        </w:rPr>
        <w:t>spadek stóp krótkoterminowych.</w:t>
      </w:r>
    </w:p>
    <w:p w14:paraId="4B1A4EB1" w14:textId="77777777" w:rsidR="00140307" w:rsidRPr="00013553" w:rsidRDefault="00140307" w:rsidP="00140307">
      <w:pPr>
        <w:spacing w:after="0"/>
        <w:jc w:val="both"/>
        <w:rPr>
          <w:rFonts w:ascii="Times New Roman" w:hAnsi="Times New Roman" w:cs="Times New Roman"/>
          <w:sz w:val="20"/>
          <w:szCs w:val="20"/>
          <w:highlight w:val="white"/>
        </w:rPr>
      </w:pPr>
    </w:p>
    <w:tbl>
      <w:tblPr>
        <w:tblW w:w="91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7"/>
        <w:gridCol w:w="970"/>
        <w:gridCol w:w="1119"/>
        <w:gridCol w:w="1134"/>
        <w:gridCol w:w="1124"/>
        <w:gridCol w:w="1518"/>
      </w:tblGrid>
      <w:tr w:rsidR="00140307" w:rsidRPr="002906D1" w14:paraId="052D6D78" w14:textId="77777777" w:rsidTr="00140307">
        <w:trPr>
          <w:trHeight w:val="255"/>
        </w:trPr>
        <w:tc>
          <w:tcPr>
            <w:tcW w:w="3277" w:type="dxa"/>
            <w:shd w:val="clear" w:color="auto" w:fill="auto"/>
            <w:vAlign w:val="center"/>
            <w:hideMark/>
          </w:tcPr>
          <w:p w14:paraId="63DDC2C5" w14:textId="77777777" w:rsidR="00140307" w:rsidRPr="002906D1" w:rsidRDefault="00140307" w:rsidP="00140307">
            <w:pPr>
              <w:spacing w:after="0" w:line="240" w:lineRule="auto"/>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Opis scenariusza</w:t>
            </w:r>
          </w:p>
        </w:tc>
        <w:tc>
          <w:tcPr>
            <w:tcW w:w="919" w:type="dxa"/>
            <w:shd w:val="clear" w:color="auto" w:fill="auto"/>
            <w:vAlign w:val="center"/>
            <w:hideMark/>
          </w:tcPr>
          <w:p w14:paraId="4D85FAE6" w14:textId="77777777" w:rsidR="00140307" w:rsidRPr="002906D1" w:rsidRDefault="00140307" w:rsidP="00140307">
            <w:pPr>
              <w:spacing w:after="0" w:line="240" w:lineRule="auto"/>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Scenariusz</w:t>
            </w:r>
          </w:p>
        </w:tc>
        <w:tc>
          <w:tcPr>
            <w:tcW w:w="1119" w:type="dxa"/>
            <w:shd w:val="clear" w:color="auto" w:fill="auto"/>
            <w:vAlign w:val="center"/>
            <w:hideMark/>
          </w:tcPr>
          <w:p w14:paraId="27F722A5" w14:textId="77777777" w:rsidR="00140307" w:rsidRPr="002906D1" w:rsidRDefault="00140307" w:rsidP="00140307">
            <w:pPr>
              <w:spacing w:after="0" w:line="240" w:lineRule="auto"/>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Zmiana wartości</w:t>
            </w:r>
          </w:p>
        </w:tc>
        <w:tc>
          <w:tcPr>
            <w:tcW w:w="1134" w:type="dxa"/>
            <w:shd w:val="clear" w:color="auto" w:fill="auto"/>
            <w:vAlign w:val="center"/>
            <w:hideMark/>
          </w:tcPr>
          <w:p w14:paraId="4EF8ECA8" w14:textId="77777777" w:rsidR="00140307" w:rsidRPr="002906D1" w:rsidRDefault="00140307" w:rsidP="00140307">
            <w:pPr>
              <w:spacing w:after="0" w:line="240" w:lineRule="auto"/>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Zmiana wskaźnika</w:t>
            </w:r>
          </w:p>
        </w:tc>
        <w:tc>
          <w:tcPr>
            <w:tcW w:w="1134" w:type="dxa"/>
            <w:vAlign w:val="center"/>
          </w:tcPr>
          <w:p w14:paraId="3E9BC545" w14:textId="77777777" w:rsidR="00140307" w:rsidRPr="002906D1" w:rsidRDefault="00140307" w:rsidP="00140307">
            <w:pPr>
              <w:spacing w:after="0" w:line="240" w:lineRule="auto"/>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Limit zewnętrzny</w:t>
            </w:r>
          </w:p>
        </w:tc>
        <w:tc>
          <w:tcPr>
            <w:tcW w:w="1559" w:type="dxa"/>
            <w:vAlign w:val="center"/>
          </w:tcPr>
          <w:p w14:paraId="78EBB28B" w14:textId="77777777" w:rsidR="00140307" w:rsidRPr="002906D1" w:rsidRDefault="00140307" w:rsidP="00140307">
            <w:pPr>
              <w:spacing w:after="0" w:line="240" w:lineRule="auto"/>
              <w:jc w:val="center"/>
              <w:rPr>
                <w:rFonts w:ascii="Times New Roman" w:eastAsia="Times New Roman" w:hAnsi="Times New Roman" w:cs="Times New Roman"/>
                <w:b/>
                <w:bCs/>
                <w:color w:val="000000"/>
                <w:sz w:val="18"/>
                <w:szCs w:val="18"/>
                <w:lang w:eastAsia="pl-PL"/>
              </w:rPr>
            </w:pPr>
            <w:r w:rsidRPr="002906D1">
              <w:rPr>
                <w:rFonts w:ascii="Times New Roman" w:eastAsia="Times New Roman" w:hAnsi="Times New Roman" w:cs="Times New Roman"/>
                <w:b/>
                <w:bCs/>
                <w:color w:val="000000"/>
                <w:sz w:val="18"/>
                <w:szCs w:val="18"/>
                <w:lang w:eastAsia="pl-PL"/>
              </w:rPr>
              <w:t>Limit wewnętrzny Banku</w:t>
            </w:r>
          </w:p>
        </w:tc>
      </w:tr>
      <w:tr w:rsidR="00140307" w:rsidRPr="002906D1" w14:paraId="63908322" w14:textId="77777777" w:rsidTr="00140307">
        <w:trPr>
          <w:trHeight w:val="255"/>
        </w:trPr>
        <w:tc>
          <w:tcPr>
            <w:tcW w:w="3277" w:type="dxa"/>
            <w:shd w:val="clear" w:color="auto" w:fill="auto"/>
            <w:noWrap/>
            <w:vAlign w:val="center"/>
            <w:hideMark/>
          </w:tcPr>
          <w:p w14:paraId="3ACD4885"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lastRenderedPageBreak/>
              <w:t>Wartość ekonomiczna kapitału  (wzrost równoległy o 200 pb)</w:t>
            </w:r>
          </w:p>
        </w:tc>
        <w:tc>
          <w:tcPr>
            <w:tcW w:w="919" w:type="dxa"/>
            <w:shd w:val="clear" w:color="auto" w:fill="auto"/>
            <w:noWrap/>
            <w:vAlign w:val="center"/>
            <w:hideMark/>
          </w:tcPr>
          <w:p w14:paraId="7063EB6F"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TWS (+200 pb)</w:t>
            </w:r>
          </w:p>
        </w:tc>
        <w:tc>
          <w:tcPr>
            <w:tcW w:w="1119" w:type="dxa"/>
            <w:shd w:val="clear" w:color="auto" w:fill="auto"/>
            <w:noWrap/>
            <w:vAlign w:val="center"/>
            <w:hideMark/>
          </w:tcPr>
          <w:p w14:paraId="444BE85A" w14:textId="77777777" w:rsidR="00140307" w:rsidRPr="002906D1" w:rsidRDefault="00140307" w:rsidP="00140307">
            <w:pPr>
              <w:spacing w:after="0" w:line="240" w:lineRule="auto"/>
              <w:jc w:val="right"/>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89 019,37</w:t>
            </w:r>
          </w:p>
        </w:tc>
        <w:tc>
          <w:tcPr>
            <w:tcW w:w="1134" w:type="dxa"/>
            <w:shd w:val="clear" w:color="auto" w:fill="auto"/>
            <w:noWrap/>
            <w:vAlign w:val="center"/>
            <w:hideMark/>
          </w:tcPr>
          <w:p w14:paraId="2F1D953F" w14:textId="77777777" w:rsidR="00140307" w:rsidRPr="002906D1" w:rsidRDefault="00140307" w:rsidP="00140307">
            <w:pPr>
              <w:spacing w:after="0" w:line="240" w:lineRule="auto"/>
              <w:jc w:val="right"/>
              <w:rPr>
                <w:rFonts w:ascii="Times New Roman" w:eastAsia="Times New Roman" w:hAnsi="Times New Roman" w:cs="Times New Roman"/>
                <w:b/>
                <w:color w:val="000000"/>
                <w:sz w:val="18"/>
                <w:szCs w:val="18"/>
                <w:lang w:eastAsia="pl-PL"/>
              </w:rPr>
            </w:pPr>
            <w:r w:rsidRPr="002906D1">
              <w:rPr>
                <w:rFonts w:ascii="Times New Roman" w:eastAsia="Times New Roman" w:hAnsi="Times New Roman" w:cs="Times New Roman"/>
                <w:b/>
                <w:color w:val="000000"/>
                <w:sz w:val="18"/>
                <w:szCs w:val="18"/>
                <w:lang w:eastAsia="pl-PL"/>
              </w:rPr>
              <w:t>1,64%</w:t>
            </w:r>
          </w:p>
        </w:tc>
        <w:tc>
          <w:tcPr>
            <w:tcW w:w="1134" w:type="dxa"/>
            <w:vAlign w:val="center"/>
          </w:tcPr>
          <w:p w14:paraId="1CF34F7B"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20% FW</w:t>
            </w:r>
          </w:p>
        </w:tc>
        <w:tc>
          <w:tcPr>
            <w:tcW w:w="1559" w:type="dxa"/>
            <w:vAlign w:val="center"/>
          </w:tcPr>
          <w:p w14:paraId="3D3CE100"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9% FW</w:t>
            </w:r>
          </w:p>
        </w:tc>
      </w:tr>
      <w:tr w:rsidR="00140307" w:rsidRPr="002906D1" w14:paraId="60BE3F6A" w14:textId="77777777" w:rsidTr="00140307">
        <w:trPr>
          <w:trHeight w:val="255"/>
        </w:trPr>
        <w:tc>
          <w:tcPr>
            <w:tcW w:w="3277" w:type="dxa"/>
            <w:shd w:val="clear" w:color="auto" w:fill="auto"/>
            <w:noWrap/>
            <w:vAlign w:val="center"/>
            <w:hideMark/>
          </w:tcPr>
          <w:p w14:paraId="3A0389CA"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Wartość ekonomiczna kapitału  (spadek równoległy 200 pb)</w:t>
            </w:r>
          </w:p>
        </w:tc>
        <w:tc>
          <w:tcPr>
            <w:tcW w:w="919" w:type="dxa"/>
            <w:shd w:val="clear" w:color="auto" w:fill="auto"/>
            <w:noWrap/>
            <w:vAlign w:val="center"/>
            <w:hideMark/>
          </w:tcPr>
          <w:p w14:paraId="34C9ED70"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TWS (-200 pb)</w:t>
            </w:r>
          </w:p>
        </w:tc>
        <w:tc>
          <w:tcPr>
            <w:tcW w:w="1119" w:type="dxa"/>
            <w:shd w:val="clear" w:color="auto" w:fill="auto"/>
            <w:noWrap/>
            <w:vAlign w:val="center"/>
            <w:hideMark/>
          </w:tcPr>
          <w:p w14:paraId="41A6C079" w14:textId="77777777" w:rsidR="00140307" w:rsidRPr="002906D1" w:rsidRDefault="00140307" w:rsidP="00140307">
            <w:pPr>
              <w:spacing w:after="0" w:line="240" w:lineRule="auto"/>
              <w:jc w:val="right"/>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-292 843,77</w:t>
            </w:r>
          </w:p>
        </w:tc>
        <w:tc>
          <w:tcPr>
            <w:tcW w:w="1134" w:type="dxa"/>
            <w:shd w:val="clear" w:color="auto" w:fill="auto"/>
            <w:noWrap/>
            <w:vAlign w:val="center"/>
            <w:hideMark/>
          </w:tcPr>
          <w:p w14:paraId="3532B32E" w14:textId="77777777" w:rsidR="00140307" w:rsidRPr="002906D1" w:rsidRDefault="00140307" w:rsidP="00140307">
            <w:pPr>
              <w:spacing w:after="0" w:line="240" w:lineRule="auto"/>
              <w:jc w:val="right"/>
              <w:rPr>
                <w:rFonts w:ascii="Times New Roman" w:eastAsia="Times New Roman" w:hAnsi="Times New Roman" w:cs="Times New Roman"/>
                <w:b/>
                <w:color w:val="000000"/>
                <w:sz w:val="18"/>
                <w:szCs w:val="18"/>
                <w:lang w:eastAsia="pl-PL"/>
              </w:rPr>
            </w:pPr>
            <w:r w:rsidRPr="002906D1">
              <w:rPr>
                <w:rFonts w:ascii="Times New Roman" w:eastAsia="Times New Roman" w:hAnsi="Times New Roman" w:cs="Times New Roman"/>
                <w:b/>
                <w:color w:val="000000"/>
                <w:sz w:val="18"/>
                <w:szCs w:val="18"/>
                <w:lang w:eastAsia="pl-PL"/>
              </w:rPr>
              <w:t>-5,39%</w:t>
            </w:r>
          </w:p>
        </w:tc>
        <w:tc>
          <w:tcPr>
            <w:tcW w:w="1134" w:type="dxa"/>
            <w:vAlign w:val="center"/>
          </w:tcPr>
          <w:p w14:paraId="7510C1A7"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20% FW</w:t>
            </w:r>
          </w:p>
        </w:tc>
        <w:tc>
          <w:tcPr>
            <w:tcW w:w="1559" w:type="dxa"/>
            <w:vAlign w:val="center"/>
          </w:tcPr>
          <w:p w14:paraId="1EE20A9F"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9% FW</w:t>
            </w:r>
          </w:p>
        </w:tc>
      </w:tr>
      <w:tr w:rsidR="00140307" w:rsidRPr="002906D1" w14:paraId="2C842B05" w14:textId="77777777" w:rsidTr="00140307">
        <w:trPr>
          <w:trHeight w:val="255"/>
        </w:trPr>
        <w:tc>
          <w:tcPr>
            <w:tcW w:w="3277" w:type="dxa"/>
            <w:shd w:val="clear" w:color="auto" w:fill="auto"/>
            <w:noWrap/>
            <w:vAlign w:val="center"/>
            <w:hideMark/>
          </w:tcPr>
          <w:p w14:paraId="7D93B48C"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Równoległy wzrost szoku o 250 pb</w:t>
            </w:r>
          </w:p>
        </w:tc>
        <w:tc>
          <w:tcPr>
            <w:tcW w:w="919" w:type="dxa"/>
            <w:shd w:val="clear" w:color="auto" w:fill="auto"/>
            <w:noWrap/>
            <w:vAlign w:val="center"/>
            <w:hideMark/>
          </w:tcPr>
          <w:p w14:paraId="26826668"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EBA 1</w:t>
            </w:r>
          </w:p>
        </w:tc>
        <w:tc>
          <w:tcPr>
            <w:tcW w:w="1119" w:type="dxa"/>
            <w:shd w:val="clear" w:color="auto" w:fill="auto"/>
            <w:noWrap/>
            <w:vAlign w:val="center"/>
            <w:hideMark/>
          </w:tcPr>
          <w:p w14:paraId="739F6DE2" w14:textId="77777777" w:rsidR="00140307" w:rsidRPr="002906D1" w:rsidRDefault="00140307" w:rsidP="00140307">
            <w:pPr>
              <w:spacing w:after="0" w:line="240" w:lineRule="auto"/>
              <w:jc w:val="right"/>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105 243,74</w:t>
            </w:r>
          </w:p>
        </w:tc>
        <w:tc>
          <w:tcPr>
            <w:tcW w:w="1134" w:type="dxa"/>
            <w:shd w:val="clear" w:color="auto" w:fill="auto"/>
            <w:noWrap/>
            <w:vAlign w:val="center"/>
            <w:hideMark/>
          </w:tcPr>
          <w:p w14:paraId="46476998" w14:textId="77777777" w:rsidR="00140307" w:rsidRPr="002906D1" w:rsidRDefault="00140307" w:rsidP="00140307">
            <w:pPr>
              <w:spacing w:after="0" w:line="240" w:lineRule="auto"/>
              <w:jc w:val="right"/>
              <w:rPr>
                <w:rFonts w:ascii="Times New Roman" w:eastAsia="Times New Roman" w:hAnsi="Times New Roman" w:cs="Times New Roman"/>
                <w:b/>
                <w:color w:val="000000"/>
                <w:sz w:val="18"/>
                <w:szCs w:val="18"/>
                <w:lang w:eastAsia="pl-PL"/>
              </w:rPr>
            </w:pPr>
            <w:r w:rsidRPr="002906D1">
              <w:rPr>
                <w:rFonts w:ascii="Times New Roman" w:eastAsia="Times New Roman" w:hAnsi="Times New Roman" w:cs="Times New Roman"/>
                <w:b/>
                <w:color w:val="000000"/>
                <w:sz w:val="18"/>
                <w:szCs w:val="18"/>
                <w:lang w:eastAsia="pl-PL"/>
              </w:rPr>
              <w:t>1,94%</w:t>
            </w:r>
          </w:p>
        </w:tc>
        <w:tc>
          <w:tcPr>
            <w:tcW w:w="1134" w:type="dxa"/>
            <w:vAlign w:val="center"/>
          </w:tcPr>
          <w:p w14:paraId="3CAAB4AD"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15% TIER 1</w:t>
            </w:r>
          </w:p>
        </w:tc>
        <w:tc>
          <w:tcPr>
            <w:tcW w:w="1559" w:type="dxa"/>
            <w:vAlign w:val="center"/>
          </w:tcPr>
          <w:p w14:paraId="7BE21D1F"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9% TIER 1</w:t>
            </w:r>
          </w:p>
        </w:tc>
      </w:tr>
      <w:tr w:rsidR="00140307" w:rsidRPr="002906D1" w14:paraId="13E263DD" w14:textId="77777777" w:rsidTr="00140307">
        <w:trPr>
          <w:trHeight w:val="255"/>
        </w:trPr>
        <w:tc>
          <w:tcPr>
            <w:tcW w:w="3277" w:type="dxa"/>
            <w:shd w:val="clear" w:color="auto" w:fill="auto"/>
            <w:noWrap/>
            <w:vAlign w:val="center"/>
            <w:hideMark/>
          </w:tcPr>
          <w:p w14:paraId="657322ED"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Równoległy spadek szoku o 250 pb</w:t>
            </w:r>
          </w:p>
        </w:tc>
        <w:tc>
          <w:tcPr>
            <w:tcW w:w="919" w:type="dxa"/>
            <w:shd w:val="clear" w:color="auto" w:fill="auto"/>
            <w:noWrap/>
            <w:vAlign w:val="center"/>
            <w:hideMark/>
          </w:tcPr>
          <w:p w14:paraId="0D0FBC36"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EBA 2</w:t>
            </w:r>
          </w:p>
        </w:tc>
        <w:tc>
          <w:tcPr>
            <w:tcW w:w="1119" w:type="dxa"/>
            <w:shd w:val="clear" w:color="auto" w:fill="auto"/>
            <w:noWrap/>
            <w:vAlign w:val="center"/>
            <w:hideMark/>
          </w:tcPr>
          <w:p w14:paraId="2FB41C7D" w14:textId="77777777" w:rsidR="00140307" w:rsidRPr="002906D1" w:rsidRDefault="00140307" w:rsidP="00140307">
            <w:pPr>
              <w:spacing w:after="0" w:line="240" w:lineRule="auto"/>
              <w:jc w:val="right"/>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-322 804,32</w:t>
            </w:r>
          </w:p>
        </w:tc>
        <w:tc>
          <w:tcPr>
            <w:tcW w:w="1134" w:type="dxa"/>
            <w:shd w:val="clear" w:color="auto" w:fill="auto"/>
            <w:noWrap/>
            <w:vAlign w:val="center"/>
            <w:hideMark/>
          </w:tcPr>
          <w:p w14:paraId="2BB5BC15" w14:textId="77777777" w:rsidR="00140307" w:rsidRPr="002906D1" w:rsidRDefault="00140307" w:rsidP="00140307">
            <w:pPr>
              <w:spacing w:after="0" w:line="240" w:lineRule="auto"/>
              <w:jc w:val="right"/>
              <w:rPr>
                <w:rFonts w:ascii="Times New Roman" w:eastAsia="Times New Roman" w:hAnsi="Times New Roman" w:cs="Times New Roman"/>
                <w:b/>
                <w:color w:val="000000"/>
                <w:sz w:val="18"/>
                <w:szCs w:val="18"/>
                <w:lang w:eastAsia="pl-PL"/>
              </w:rPr>
            </w:pPr>
            <w:r w:rsidRPr="002906D1">
              <w:rPr>
                <w:rFonts w:ascii="Times New Roman" w:eastAsia="Times New Roman" w:hAnsi="Times New Roman" w:cs="Times New Roman"/>
                <w:b/>
                <w:color w:val="000000"/>
                <w:sz w:val="18"/>
                <w:szCs w:val="18"/>
                <w:lang w:eastAsia="pl-PL"/>
              </w:rPr>
              <w:t>-5,94%</w:t>
            </w:r>
          </w:p>
        </w:tc>
        <w:tc>
          <w:tcPr>
            <w:tcW w:w="1134" w:type="dxa"/>
            <w:vAlign w:val="center"/>
          </w:tcPr>
          <w:p w14:paraId="75FD2ED8"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15% TIER 1</w:t>
            </w:r>
          </w:p>
        </w:tc>
        <w:tc>
          <w:tcPr>
            <w:tcW w:w="1559" w:type="dxa"/>
            <w:vAlign w:val="center"/>
          </w:tcPr>
          <w:p w14:paraId="0CFAFDAC"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9% TIER 1</w:t>
            </w:r>
          </w:p>
        </w:tc>
      </w:tr>
      <w:tr w:rsidR="00140307" w:rsidRPr="002906D1" w14:paraId="44692808" w14:textId="77777777" w:rsidTr="00140307">
        <w:trPr>
          <w:trHeight w:val="255"/>
        </w:trPr>
        <w:tc>
          <w:tcPr>
            <w:tcW w:w="3277" w:type="dxa"/>
            <w:shd w:val="clear" w:color="auto" w:fill="auto"/>
            <w:noWrap/>
            <w:vAlign w:val="center"/>
            <w:hideMark/>
          </w:tcPr>
          <w:p w14:paraId="6F1DC77C"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Szokowy spadek stóp krótkoterminowych o 350 pb i wzrost stóp długoterminowych o 150 pb</w:t>
            </w:r>
          </w:p>
        </w:tc>
        <w:tc>
          <w:tcPr>
            <w:tcW w:w="919" w:type="dxa"/>
            <w:shd w:val="clear" w:color="auto" w:fill="auto"/>
            <w:noWrap/>
            <w:vAlign w:val="center"/>
            <w:hideMark/>
          </w:tcPr>
          <w:p w14:paraId="647AD4B5"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EBA 3</w:t>
            </w:r>
          </w:p>
        </w:tc>
        <w:tc>
          <w:tcPr>
            <w:tcW w:w="1119" w:type="dxa"/>
            <w:shd w:val="clear" w:color="auto" w:fill="auto"/>
            <w:noWrap/>
            <w:vAlign w:val="center"/>
            <w:hideMark/>
          </w:tcPr>
          <w:p w14:paraId="573F1CE9" w14:textId="77777777" w:rsidR="00140307" w:rsidRPr="002906D1" w:rsidRDefault="00140307" w:rsidP="00140307">
            <w:pPr>
              <w:spacing w:after="0" w:line="240" w:lineRule="auto"/>
              <w:jc w:val="right"/>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69 207,05</w:t>
            </w:r>
          </w:p>
        </w:tc>
        <w:tc>
          <w:tcPr>
            <w:tcW w:w="1134" w:type="dxa"/>
            <w:shd w:val="clear" w:color="auto" w:fill="auto"/>
            <w:noWrap/>
            <w:vAlign w:val="center"/>
            <w:hideMark/>
          </w:tcPr>
          <w:p w14:paraId="2B450BD5" w14:textId="77777777" w:rsidR="00140307" w:rsidRPr="002906D1" w:rsidRDefault="00140307" w:rsidP="00140307">
            <w:pPr>
              <w:spacing w:after="0" w:line="240" w:lineRule="auto"/>
              <w:jc w:val="right"/>
              <w:rPr>
                <w:rFonts w:ascii="Times New Roman" w:eastAsia="Times New Roman" w:hAnsi="Times New Roman" w:cs="Times New Roman"/>
                <w:b/>
                <w:color w:val="000000"/>
                <w:sz w:val="18"/>
                <w:szCs w:val="18"/>
                <w:lang w:eastAsia="pl-PL"/>
              </w:rPr>
            </w:pPr>
            <w:r w:rsidRPr="002906D1">
              <w:rPr>
                <w:rFonts w:ascii="Times New Roman" w:eastAsia="Times New Roman" w:hAnsi="Times New Roman" w:cs="Times New Roman"/>
                <w:b/>
                <w:color w:val="000000"/>
                <w:sz w:val="18"/>
                <w:szCs w:val="18"/>
                <w:lang w:eastAsia="pl-PL"/>
              </w:rPr>
              <w:t>1,27%</w:t>
            </w:r>
          </w:p>
        </w:tc>
        <w:tc>
          <w:tcPr>
            <w:tcW w:w="1134" w:type="dxa"/>
            <w:vAlign w:val="center"/>
          </w:tcPr>
          <w:p w14:paraId="12E3C785"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15% TIER 1</w:t>
            </w:r>
          </w:p>
        </w:tc>
        <w:tc>
          <w:tcPr>
            <w:tcW w:w="1559" w:type="dxa"/>
            <w:vAlign w:val="center"/>
          </w:tcPr>
          <w:p w14:paraId="4769E453"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9% TIER 1</w:t>
            </w:r>
          </w:p>
        </w:tc>
      </w:tr>
      <w:tr w:rsidR="00140307" w:rsidRPr="002906D1" w14:paraId="5E0588F0" w14:textId="77777777" w:rsidTr="00140307">
        <w:trPr>
          <w:trHeight w:val="255"/>
        </w:trPr>
        <w:tc>
          <w:tcPr>
            <w:tcW w:w="3277" w:type="dxa"/>
            <w:shd w:val="clear" w:color="auto" w:fill="auto"/>
            <w:noWrap/>
            <w:vAlign w:val="center"/>
            <w:hideMark/>
          </w:tcPr>
          <w:p w14:paraId="1131999E"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Szokowy wzrost stóp krótkoterminowych o 350 pb i spadek stóp długoterminowych o 150pb</w:t>
            </w:r>
          </w:p>
        </w:tc>
        <w:tc>
          <w:tcPr>
            <w:tcW w:w="919" w:type="dxa"/>
            <w:shd w:val="clear" w:color="auto" w:fill="auto"/>
            <w:noWrap/>
            <w:vAlign w:val="center"/>
            <w:hideMark/>
          </w:tcPr>
          <w:p w14:paraId="36DF0CA7"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EBA 4</w:t>
            </w:r>
          </w:p>
        </w:tc>
        <w:tc>
          <w:tcPr>
            <w:tcW w:w="1119" w:type="dxa"/>
            <w:shd w:val="clear" w:color="auto" w:fill="auto"/>
            <w:noWrap/>
            <w:vAlign w:val="center"/>
            <w:hideMark/>
          </w:tcPr>
          <w:p w14:paraId="25F53CBC" w14:textId="77777777" w:rsidR="00140307" w:rsidRPr="002906D1" w:rsidRDefault="00140307" w:rsidP="00140307">
            <w:pPr>
              <w:spacing w:after="0" w:line="240" w:lineRule="auto"/>
              <w:jc w:val="right"/>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-121 310,48</w:t>
            </w:r>
          </w:p>
        </w:tc>
        <w:tc>
          <w:tcPr>
            <w:tcW w:w="1134" w:type="dxa"/>
            <w:shd w:val="clear" w:color="auto" w:fill="auto"/>
            <w:noWrap/>
            <w:vAlign w:val="center"/>
            <w:hideMark/>
          </w:tcPr>
          <w:p w14:paraId="4C27B883" w14:textId="77777777" w:rsidR="00140307" w:rsidRPr="002906D1" w:rsidRDefault="00140307" w:rsidP="00140307">
            <w:pPr>
              <w:spacing w:after="0" w:line="240" w:lineRule="auto"/>
              <w:jc w:val="right"/>
              <w:rPr>
                <w:rFonts w:ascii="Times New Roman" w:eastAsia="Times New Roman" w:hAnsi="Times New Roman" w:cs="Times New Roman"/>
                <w:b/>
                <w:color w:val="000000"/>
                <w:sz w:val="18"/>
                <w:szCs w:val="18"/>
                <w:lang w:eastAsia="pl-PL"/>
              </w:rPr>
            </w:pPr>
            <w:r w:rsidRPr="002906D1">
              <w:rPr>
                <w:rFonts w:ascii="Times New Roman" w:eastAsia="Times New Roman" w:hAnsi="Times New Roman" w:cs="Times New Roman"/>
                <w:b/>
                <w:color w:val="000000"/>
                <w:sz w:val="18"/>
                <w:szCs w:val="18"/>
                <w:lang w:eastAsia="pl-PL"/>
              </w:rPr>
              <w:t>-2,23%</w:t>
            </w:r>
          </w:p>
        </w:tc>
        <w:tc>
          <w:tcPr>
            <w:tcW w:w="1134" w:type="dxa"/>
            <w:vAlign w:val="center"/>
          </w:tcPr>
          <w:p w14:paraId="2ADE469E"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15% TIER 1</w:t>
            </w:r>
          </w:p>
        </w:tc>
        <w:tc>
          <w:tcPr>
            <w:tcW w:w="1559" w:type="dxa"/>
            <w:vAlign w:val="center"/>
          </w:tcPr>
          <w:p w14:paraId="2C47EAC0"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9% TIER 1</w:t>
            </w:r>
          </w:p>
        </w:tc>
      </w:tr>
      <w:tr w:rsidR="00140307" w:rsidRPr="002906D1" w14:paraId="509ECC17" w14:textId="77777777" w:rsidTr="00140307">
        <w:trPr>
          <w:trHeight w:val="255"/>
        </w:trPr>
        <w:tc>
          <w:tcPr>
            <w:tcW w:w="3277" w:type="dxa"/>
            <w:shd w:val="clear" w:color="auto" w:fill="auto"/>
            <w:noWrap/>
            <w:vAlign w:val="center"/>
            <w:hideMark/>
          </w:tcPr>
          <w:p w14:paraId="15633A14"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Szokowy wzrost stóp krótkoterminowych o 350 pb</w:t>
            </w:r>
          </w:p>
        </w:tc>
        <w:tc>
          <w:tcPr>
            <w:tcW w:w="919" w:type="dxa"/>
            <w:shd w:val="clear" w:color="auto" w:fill="auto"/>
            <w:noWrap/>
            <w:vAlign w:val="center"/>
            <w:hideMark/>
          </w:tcPr>
          <w:p w14:paraId="1AB7D168"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EBA 5</w:t>
            </w:r>
          </w:p>
        </w:tc>
        <w:tc>
          <w:tcPr>
            <w:tcW w:w="1119" w:type="dxa"/>
            <w:shd w:val="clear" w:color="auto" w:fill="auto"/>
            <w:noWrap/>
            <w:vAlign w:val="center"/>
            <w:hideMark/>
          </w:tcPr>
          <w:p w14:paraId="18E948D8" w14:textId="77777777" w:rsidR="00140307" w:rsidRPr="002906D1" w:rsidRDefault="00140307" w:rsidP="00140307">
            <w:pPr>
              <w:spacing w:after="0" w:line="240" w:lineRule="auto"/>
              <w:jc w:val="right"/>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-7 669,77</w:t>
            </w:r>
          </w:p>
        </w:tc>
        <w:tc>
          <w:tcPr>
            <w:tcW w:w="1134" w:type="dxa"/>
            <w:shd w:val="clear" w:color="auto" w:fill="auto"/>
            <w:noWrap/>
            <w:vAlign w:val="center"/>
            <w:hideMark/>
          </w:tcPr>
          <w:p w14:paraId="489C3393" w14:textId="77777777" w:rsidR="00140307" w:rsidRPr="002906D1" w:rsidRDefault="00140307" w:rsidP="00140307">
            <w:pPr>
              <w:spacing w:after="0" w:line="240" w:lineRule="auto"/>
              <w:jc w:val="right"/>
              <w:rPr>
                <w:rFonts w:ascii="Times New Roman" w:eastAsia="Times New Roman" w:hAnsi="Times New Roman" w:cs="Times New Roman"/>
                <w:b/>
                <w:color w:val="000000"/>
                <w:sz w:val="18"/>
                <w:szCs w:val="18"/>
                <w:lang w:eastAsia="pl-PL"/>
              </w:rPr>
            </w:pPr>
            <w:r w:rsidRPr="002906D1">
              <w:rPr>
                <w:rFonts w:ascii="Times New Roman" w:eastAsia="Times New Roman" w:hAnsi="Times New Roman" w:cs="Times New Roman"/>
                <w:b/>
                <w:color w:val="000000"/>
                <w:sz w:val="18"/>
                <w:szCs w:val="18"/>
                <w:lang w:eastAsia="pl-PL"/>
              </w:rPr>
              <w:t>-0,14%</w:t>
            </w:r>
          </w:p>
        </w:tc>
        <w:tc>
          <w:tcPr>
            <w:tcW w:w="1134" w:type="dxa"/>
            <w:vAlign w:val="center"/>
          </w:tcPr>
          <w:p w14:paraId="2B737595"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15% TIER 1</w:t>
            </w:r>
          </w:p>
        </w:tc>
        <w:tc>
          <w:tcPr>
            <w:tcW w:w="1559" w:type="dxa"/>
            <w:vAlign w:val="center"/>
          </w:tcPr>
          <w:p w14:paraId="07728D2E"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9% TIER 1</w:t>
            </w:r>
          </w:p>
        </w:tc>
      </w:tr>
      <w:tr w:rsidR="00140307" w:rsidRPr="002906D1" w14:paraId="57FC0EF1" w14:textId="77777777" w:rsidTr="00140307">
        <w:trPr>
          <w:trHeight w:val="255"/>
        </w:trPr>
        <w:tc>
          <w:tcPr>
            <w:tcW w:w="3277" w:type="dxa"/>
            <w:shd w:val="clear" w:color="auto" w:fill="auto"/>
            <w:noWrap/>
            <w:vAlign w:val="center"/>
            <w:hideMark/>
          </w:tcPr>
          <w:p w14:paraId="770878E7"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Szokowy spadek stóp krótkoterminowych o 350 pb</w:t>
            </w:r>
          </w:p>
        </w:tc>
        <w:tc>
          <w:tcPr>
            <w:tcW w:w="919" w:type="dxa"/>
            <w:shd w:val="clear" w:color="auto" w:fill="auto"/>
            <w:noWrap/>
            <w:vAlign w:val="center"/>
            <w:hideMark/>
          </w:tcPr>
          <w:p w14:paraId="1B131B00" w14:textId="77777777" w:rsidR="00140307" w:rsidRPr="002906D1" w:rsidRDefault="00140307" w:rsidP="00140307">
            <w:pPr>
              <w:spacing w:after="0" w:line="240" w:lineRule="auto"/>
              <w:rPr>
                <w:rFonts w:ascii="Times New Roman" w:eastAsia="Times New Roman" w:hAnsi="Times New Roman" w:cs="Times New Roman"/>
                <w:b/>
                <w:i/>
                <w:color w:val="000000"/>
                <w:sz w:val="18"/>
                <w:szCs w:val="18"/>
                <w:lang w:eastAsia="pl-PL"/>
              </w:rPr>
            </w:pPr>
            <w:r w:rsidRPr="002906D1">
              <w:rPr>
                <w:rFonts w:ascii="Times New Roman" w:eastAsia="Times New Roman" w:hAnsi="Times New Roman" w:cs="Times New Roman"/>
                <w:b/>
                <w:i/>
                <w:color w:val="000000"/>
                <w:sz w:val="18"/>
                <w:szCs w:val="18"/>
                <w:lang w:eastAsia="pl-PL"/>
              </w:rPr>
              <w:t>EBA 6</w:t>
            </w:r>
          </w:p>
        </w:tc>
        <w:tc>
          <w:tcPr>
            <w:tcW w:w="1119" w:type="dxa"/>
            <w:shd w:val="clear" w:color="auto" w:fill="auto"/>
            <w:noWrap/>
            <w:vAlign w:val="center"/>
            <w:hideMark/>
          </w:tcPr>
          <w:p w14:paraId="46FF83D3" w14:textId="77777777" w:rsidR="00140307" w:rsidRPr="002906D1" w:rsidRDefault="00140307" w:rsidP="00140307">
            <w:pPr>
              <w:spacing w:after="0" w:line="240" w:lineRule="auto"/>
              <w:jc w:val="right"/>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5 301,89</w:t>
            </w:r>
          </w:p>
        </w:tc>
        <w:tc>
          <w:tcPr>
            <w:tcW w:w="1134" w:type="dxa"/>
            <w:shd w:val="clear" w:color="auto" w:fill="auto"/>
            <w:noWrap/>
            <w:vAlign w:val="center"/>
            <w:hideMark/>
          </w:tcPr>
          <w:p w14:paraId="537111AA" w14:textId="77777777" w:rsidR="00140307" w:rsidRPr="002906D1" w:rsidRDefault="00140307" w:rsidP="00140307">
            <w:pPr>
              <w:spacing w:after="0" w:line="240" w:lineRule="auto"/>
              <w:jc w:val="right"/>
              <w:rPr>
                <w:rFonts w:ascii="Times New Roman" w:eastAsia="Times New Roman" w:hAnsi="Times New Roman" w:cs="Times New Roman"/>
                <w:b/>
                <w:color w:val="000000"/>
                <w:sz w:val="18"/>
                <w:szCs w:val="18"/>
                <w:lang w:eastAsia="pl-PL"/>
              </w:rPr>
            </w:pPr>
            <w:r w:rsidRPr="002906D1">
              <w:rPr>
                <w:rFonts w:ascii="Times New Roman" w:eastAsia="Times New Roman" w:hAnsi="Times New Roman" w:cs="Times New Roman"/>
                <w:b/>
                <w:color w:val="000000"/>
                <w:sz w:val="18"/>
                <w:szCs w:val="18"/>
                <w:lang w:eastAsia="pl-PL"/>
              </w:rPr>
              <w:t>0,10%</w:t>
            </w:r>
          </w:p>
        </w:tc>
        <w:tc>
          <w:tcPr>
            <w:tcW w:w="1134" w:type="dxa"/>
            <w:vAlign w:val="center"/>
          </w:tcPr>
          <w:p w14:paraId="33BF82B2"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15% TIER 1</w:t>
            </w:r>
          </w:p>
        </w:tc>
        <w:tc>
          <w:tcPr>
            <w:tcW w:w="1559" w:type="dxa"/>
            <w:vAlign w:val="center"/>
          </w:tcPr>
          <w:p w14:paraId="5505BBA2" w14:textId="77777777" w:rsidR="00140307" w:rsidRPr="002906D1" w:rsidRDefault="00140307" w:rsidP="00140307">
            <w:pPr>
              <w:spacing w:after="0" w:line="240" w:lineRule="auto"/>
              <w:jc w:val="center"/>
              <w:rPr>
                <w:rFonts w:ascii="Times New Roman" w:eastAsia="Times New Roman" w:hAnsi="Times New Roman" w:cs="Times New Roman"/>
                <w:color w:val="000000"/>
                <w:sz w:val="18"/>
                <w:szCs w:val="18"/>
                <w:lang w:eastAsia="pl-PL"/>
              </w:rPr>
            </w:pPr>
            <w:r w:rsidRPr="002906D1">
              <w:rPr>
                <w:rFonts w:ascii="Times New Roman" w:eastAsia="Times New Roman" w:hAnsi="Times New Roman" w:cs="Times New Roman"/>
                <w:color w:val="000000"/>
                <w:sz w:val="18"/>
                <w:szCs w:val="18"/>
                <w:lang w:eastAsia="pl-PL"/>
              </w:rPr>
              <w:t>9% TIER 1</w:t>
            </w:r>
          </w:p>
        </w:tc>
      </w:tr>
    </w:tbl>
    <w:p w14:paraId="438379E9" w14:textId="77777777" w:rsidR="00140307" w:rsidRDefault="00140307" w:rsidP="00140307">
      <w:pPr>
        <w:spacing w:line="360" w:lineRule="auto"/>
        <w:jc w:val="both"/>
        <w:rPr>
          <w:rFonts w:ascii="Times New Roman" w:hAnsi="Times New Roman" w:cs="Times New Roman"/>
        </w:rPr>
      </w:pPr>
    </w:p>
    <w:p w14:paraId="4B488B5E" w14:textId="32F83FB4" w:rsidR="00140307" w:rsidRDefault="001B3C5F" w:rsidP="001B3C5F">
      <w:pPr>
        <w:jc w:val="both"/>
        <w:rPr>
          <w:rFonts w:ascii="Times New Roman" w:hAnsi="Times New Roman" w:cs="Times New Roman"/>
        </w:rPr>
      </w:pPr>
      <w:r w:rsidRPr="00013553">
        <w:rPr>
          <w:rFonts w:ascii="Times New Roman" w:hAnsi="Times New Roman" w:cs="Times New Roman"/>
          <w:sz w:val="20"/>
          <w:szCs w:val="20"/>
          <w:highlight w:val="white"/>
        </w:rPr>
        <w:t>Zgodnie z Rozporządzeniem UE, jeśli wskaźnik równoległego przesunięcia krzywej dochodowości przekroczy wartość 20% FW, a wskaźnik pozostałych scenariuszy szokowych 15% TIER 1 wówczas Zarząd jest zobligowany poinform</w:t>
      </w:r>
      <w:r>
        <w:rPr>
          <w:rFonts w:ascii="Times New Roman" w:hAnsi="Times New Roman" w:cs="Times New Roman"/>
          <w:sz w:val="20"/>
          <w:szCs w:val="20"/>
          <w:highlight w:val="white"/>
        </w:rPr>
        <w:t>ować o tym fakcie KNF. Z</w:t>
      </w:r>
      <w:r w:rsidRPr="00013553">
        <w:rPr>
          <w:rFonts w:ascii="Times New Roman" w:hAnsi="Times New Roman" w:cs="Times New Roman"/>
          <w:sz w:val="20"/>
          <w:szCs w:val="20"/>
          <w:highlight w:val="white"/>
        </w:rPr>
        <w:t>e względów bezpieczeństwa Bank ustalił poziom ostrzegawczy, który wynosi 9%.</w:t>
      </w:r>
    </w:p>
    <w:p w14:paraId="587C6A1B" w14:textId="77777777" w:rsidR="00B23868" w:rsidRDefault="00B23868" w:rsidP="00AD7AF8">
      <w:pPr>
        <w:pStyle w:val="ble"/>
        <w:spacing w:line="240" w:lineRule="auto"/>
        <w:rPr>
          <w:b/>
          <w:sz w:val="22"/>
        </w:rPr>
      </w:pPr>
    </w:p>
    <w:p w14:paraId="28196981" w14:textId="24E8786F" w:rsidR="001F3BB4" w:rsidRDefault="001F3BB4" w:rsidP="00B40B8C">
      <w:pPr>
        <w:spacing w:line="240" w:lineRule="auto"/>
        <w:jc w:val="center"/>
        <w:rPr>
          <w:rFonts w:ascii="Times New Roman" w:hAnsi="Times New Roman" w:cs="Times New Roman"/>
          <w:b/>
        </w:rPr>
      </w:pPr>
      <w:r w:rsidRPr="00AD7AF8">
        <w:rPr>
          <w:rFonts w:ascii="Times New Roman" w:hAnsi="Times New Roman" w:cs="Times New Roman"/>
          <w:b/>
        </w:rPr>
        <w:t>XI</w:t>
      </w:r>
      <w:r>
        <w:rPr>
          <w:rFonts w:ascii="Times New Roman" w:hAnsi="Times New Roman" w:cs="Times New Roman"/>
          <w:b/>
        </w:rPr>
        <w:t>I</w:t>
      </w:r>
      <w:r>
        <w:rPr>
          <w:rFonts w:ascii="Times New Roman" w:hAnsi="Times New Roman" w:cs="Times New Roman"/>
          <w:b/>
        </w:rPr>
        <w:t>I.</w:t>
      </w:r>
      <w:r>
        <w:rPr>
          <w:rFonts w:ascii="Times New Roman" w:hAnsi="Times New Roman" w:cs="Times New Roman"/>
          <w:b/>
        </w:rPr>
        <w:t xml:space="preserve"> RYZYKO RYNKOWE </w:t>
      </w:r>
      <w:r w:rsidR="00B40B8C">
        <w:rPr>
          <w:rFonts w:ascii="Times New Roman" w:hAnsi="Times New Roman" w:cs="Times New Roman"/>
          <w:b/>
        </w:rPr>
        <w:t>rozumiane jako walutowe</w:t>
      </w:r>
    </w:p>
    <w:p w14:paraId="35792054" w14:textId="77777777" w:rsidR="001F3BB4" w:rsidRPr="00A75BAA" w:rsidRDefault="001F3BB4" w:rsidP="001F3BB4">
      <w:pPr>
        <w:pStyle w:val="ble"/>
        <w:spacing w:line="240" w:lineRule="auto"/>
        <w:ind w:left="1440"/>
        <w:rPr>
          <w:b/>
          <w:sz w:val="22"/>
        </w:rPr>
      </w:pPr>
    </w:p>
    <w:p w14:paraId="4A434ED2" w14:textId="019490BD" w:rsidR="00A75BAA" w:rsidRDefault="00A75BAA" w:rsidP="00A75BAA">
      <w:pPr>
        <w:jc w:val="both"/>
        <w:rPr>
          <w:rFonts w:ascii="Times New Roman" w:hAnsi="Times New Roman"/>
        </w:rPr>
      </w:pPr>
      <w:r w:rsidRPr="000B4ED5">
        <w:rPr>
          <w:rFonts w:ascii="Times New Roman" w:hAnsi="Times New Roman"/>
        </w:rPr>
        <w:t xml:space="preserve">Według stanu na koniec </w:t>
      </w:r>
      <w:r>
        <w:rPr>
          <w:rFonts w:ascii="Times New Roman" w:hAnsi="Times New Roman"/>
        </w:rPr>
        <w:t>31.12.201</w:t>
      </w:r>
      <w:r w:rsidR="001B3C5F">
        <w:rPr>
          <w:rFonts w:ascii="Times New Roman" w:hAnsi="Times New Roman"/>
        </w:rPr>
        <w:t>9</w:t>
      </w:r>
      <w:r>
        <w:rPr>
          <w:rFonts w:ascii="Times New Roman" w:hAnsi="Times New Roman"/>
        </w:rPr>
        <w:t>r.</w:t>
      </w:r>
      <w:r w:rsidRPr="000B4ED5">
        <w:rPr>
          <w:rFonts w:ascii="Times New Roman" w:hAnsi="Times New Roman"/>
        </w:rPr>
        <w:t xml:space="preserve"> łączna wartość aktywów</w:t>
      </w:r>
      <w:r>
        <w:rPr>
          <w:rFonts w:ascii="Times New Roman" w:hAnsi="Times New Roman"/>
        </w:rPr>
        <w:t xml:space="preserve"> i pasywów</w:t>
      </w:r>
      <w:r w:rsidRPr="000B4ED5">
        <w:rPr>
          <w:rFonts w:ascii="Times New Roman" w:hAnsi="Times New Roman"/>
        </w:rPr>
        <w:t xml:space="preserve"> w walutach obcych </w:t>
      </w:r>
      <w:r>
        <w:rPr>
          <w:rFonts w:ascii="Times New Roman" w:hAnsi="Times New Roman"/>
        </w:rPr>
        <w:t>przedstawia się następująco:</w:t>
      </w:r>
    </w:p>
    <w:tbl>
      <w:tblPr>
        <w:tblW w:w="0" w:type="auto"/>
        <w:tblInd w:w="70" w:type="dxa"/>
        <w:tblLayout w:type="fixed"/>
        <w:tblCellMar>
          <w:left w:w="70" w:type="dxa"/>
          <w:right w:w="70" w:type="dxa"/>
        </w:tblCellMar>
        <w:tblLook w:val="0000" w:firstRow="0" w:lastRow="0" w:firstColumn="0" w:lastColumn="0" w:noHBand="0" w:noVBand="0"/>
      </w:tblPr>
      <w:tblGrid>
        <w:gridCol w:w="1372"/>
        <w:gridCol w:w="940"/>
        <w:gridCol w:w="1053"/>
        <w:gridCol w:w="950"/>
        <w:gridCol w:w="860"/>
        <w:gridCol w:w="982"/>
        <w:gridCol w:w="709"/>
        <w:gridCol w:w="851"/>
        <w:gridCol w:w="850"/>
        <w:gridCol w:w="851"/>
      </w:tblGrid>
      <w:tr w:rsidR="001B3C5F" w:rsidRPr="00B72873" w14:paraId="7F54748A" w14:textId="77777777" w:rsidTr="00B72873">
        <w:trPr>
          <w:trHeight w:val="242"/>
        </w:trPr>
        <w:tc>
          <w:tcPr>
            <w:tcW w:w="1372" w:type="dxa"/>
            <w:tcBorders>
              <w:top w:val="single" w:sz="8" w:space="0" w:color="000000"/>
              <w:left w:val="single" w:sz="8" w:space="0" w:color="000000"/>
              <w:bottom w:val="single" w:sz="8" w:space="0" w:color="000000"/>
            </w:tcBorders>
            <w:shd w:val="clear" w:color="auto" w:fill="auto"/>
            <w:vAlign w:val="center"/>
          </w:tcPr>
          <w:p w14:paraId="3F9A21F6"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Wyszczególnienie</w:t>
            </w:r>
          </w:p>
        </w:tc>
        <w:tc>
          <w:tcPr>
            <w:tcW w:w="940" w:type="dxa"/>
            <w:tcBorders>
              <w:top w:val="single" w:sz="8" w:space="0" w:color="000000"/>
              <w:left w:val="single" w:sz="8" w:space="0" w:color="000000"/>
              <w:bottom w:val="single" w:sz="8" w:space="0" w:color="000000"/>
            </w:tcBorders>
            <w:shd w:val="clear" w:color="auto" w:fill="auto"/>
            <w:vAlign w:val="center"/>
          </w:tcPr>
          <w:p w14:paraId="1715BD0D"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EUR</w:t>
            </w:r>
          </w:p>
        </w:tc>
        <w:tc>
          <w:tcPr>
            <w:tcW w:w="1053" w:type="dxa"/>
            <w:tcBorders>
              <w:top w:val="single" w:sz="8" w:space="0" w:color="000000"/>
              <w:left w:val="single" w:sz="8" w:space="0" w:color="000000"/>
              <w:bottom w:val="single" w:sz="8" w:space="0" w:color="000000"/>
            </w:tcBorders>
            <w:shd w:val="clear" w:color="auto" w:fill="auto"/>
            <w:vAlign w:val="center"/>
          </w:tcPr>
          <w:p w14:paraId="380257AB"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Wartość w PLN</w:t>
            </w:r>
          </w:p>
        </w:tc>
        <w:tc>
          <w:tcPr>
            <w:tcW w:w="950" w:type="dxa"/>
            <w:tcBorders>
              <w:top w:val="single" w:sz="8" w:space="0" w:color="000000"/>
              <w:left w:val="single" w:sz="8" w:space="0" w:color="000000"/>
              <w:bottom w:val="single" w:sz="8" w:space="0" w:color="000000"/>
            </w:tcBorders>
            <w:shd w:val="clear" w:color="auto" w:fill="auto"/>
            <w:vAlign w:val="center"/>
          </w:tcPr>
          <w:p w14:paraId="4CE9FA96"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Udział w sumie bilan.</w:t>
            </w:r>
          </w:p>
        </w:tc>
        <w:tc>
          <w:tcPr>
            <w:tcW w:w="860" w:type="dxa"/>
            <w:tcBorders>
              <w:top w:val="single" w:sz="8" w:space="0" w:color="000000"/>
              <w:left w:val="single" w:sz="8" w:space="0" w:color="000000"/>
              <w:bottom w:val="single" w:sz="8" w:space="0" w:color="000000"/>
            </w:tcBorders>
            <w:shd w:val="clear" w:color="auto" w:fill="auto"/>
            <w:vAlign w:val="center"/>
          </w:tcPr>
          <w:p w14:paraId="473F2090"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USD</w:t>
            </w:r>
          </w:p>
        </w:tc>
        <w:tc>
          <w:tcPr>
            <w:tcW w:w="982" w:type="dxa"/>
            <w:tcBorders>
              <w:top w:val="single" w:sz="8" w:space="0" w:color="000000"/>
              <w:left w:val="single" w:sz="8" w:space="0" w:color="000000"/>
              <w:bottom w:val="single" w:sz="8" w:space="0" w:color="000000"/>
            </w:tcBorders>
            <w:shd w:val="clear" w:color="auto" w:fill="auto"/>
            <w:vAlign w:val="center"/>
          </w:tcPr>
          <w:p w14:paraId="5BD10682"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Wartość w PLN</w:t>
            </w:r>
          </w:p>
        </w:tc>
        <w:tc>
          <w:tcPr>
            <w:tcW w:w="709" w:type="dxa"/>
            <w:tcBorders>
              <w:top w:val="single" w:sz="8" w:space="0" w:color="000000"/>
              <w:left w:val="single" w:sz="8" w:space="0" w:color="000000"/>
              <w:bottom w:val="single" w:sz="8" w:space="0" w:color="000000"/>
            </w:tcBorders>
            <w:shd w:val="clear" w:color="auto" w:fill="auto"/>
            <w:vAlign w:val="center"/>
          </w:tcPr>
          <w:p w14:paraId="7CF38D07"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Udział w sumie bilan.</w:t>
            </w:r>
          </w:p>
        </w:tc>
        <w:tc>
          <w:tcPr>
            <w:tcW w:w="851" w:type="dxa"/>
            <w:tcBorders>
              <w:top w:val="single" w:sz="8" w:space="0" w:color="000000"/>
              <w:left w:val="single" w:sz="8" w:space="0" w:color="000000"/>
              <w:bottom w:val="single" w:sz="8" w:space="0" w:color="000000"/>
            </w:tcBorders>
            <w:shd w:val="clear" w:color="auto" w:fill="auto"/>
            <w:vAlign w:val="center"/>
          </w:tcPr>
          <w:p w14:paraId="267643A6"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GBP</w:t>
            </w:r>
          </w:p>
        </w:tc>
        <w:tc>
          <w:tcPr>
            <w:tcW w:w="850" w:type="dxa"/>
            <w:tcBorders>
              <w:top w:val="single" w:sz="8" w:space="0" w:color="000000"/>
              <w:left w:val="single" w:sz="8" w:space="0" w:color="000000"/>
              <w:bottom w:val="single" w:sz="8" w:space="0" w:color="000000"/>
            </w:tcBorders>
            <w:shd w:val="clear" w:color="auto" w:fill="auto"/>
            <w:vAlign w:val="center"/>
          </w:tcPr>
          <w:p w14:paraId="220E05C2"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Wartość w PLN</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FF9DC6" w14:textId="77777777" w:rsidR="001B3C5F" w:rsidRPr="00B72873" w:rsidRDefault="001B3C5F" w:rsidP="00580CA6">
            <w:pPr>
              <w:spacing w:after="0" w:line="240" w:lineRule="auto"/>
              <w:jc w:val="center"/>
              <w:rPr>
                <w:sz w:val="18"/>
                <w:szCs w:val="18"/>
              </w:rPr>
            </w:pPr>
            <w:r w:rsidRPr="00B72873">
              <w:rPr>
                <w:rFonts w:ascii="Times New Roman" w:eastAsia="Times New Roman" w:hAnsi="Times New Roman"/>
                <w:b/>
                <w:bCs/>
                <w:color w:val="000000"/>
                <w:sz w:val="18"/>
                <w:szCs w:val="18"/>
                <w:lang w:eastAsia="pl-PL"/>
              </w:rPr>
              <w:t>Udział w sumie bilan.</w:t>
            </w:r>
          </w:p>
        </w:tc>
      </w:tr>
      <w:tr w:rsidR="001B3C5F" w:rsidRPr="00B72873" w14:paraId="306D17C8" w14:textId="77777777" w:rsidTr="00B72873">
        <w:trPr>
          <w:trHeight w:val="250"/>
        </w:trPr>
        <w:tc>
          <w:tcPr>
            <w:tcW w:w="1372" w:type="dxa"/>
            <w:tcBorders>
              <w:top w:val="single" w:sz="8" w:space="0" w:color="000000"/>
              <w:left w:val="single" w:sz="8" w:space="0" w:color="000000"/>
              <w:bottom w:val="single" w:sz="8" w:space="0" w:color="000000"/>
            </w:tcBorders>
            <w:shd w:val="clear" w:color="auto" w:fill="auto"/>
            <w:vAlign w:val="center"/>
          </w:tcPr>
          <w:p w14:paraId="6607DA80" w14:textId="77777777" w:rsidR="001B3C5F" w:rsidRPr="00B72873" w:rsidRDefault="001B3C5F" w:rsidP="00580CA6">
            <w:pPr>
              <w:spacing w:after="0" w:line="240" w:lineRule="auto"/>
              <w:rPr>
                <w:sz w:val="18"/>
                <w:szCs w:val="18"/>
              </w:rPr>
            </w:pPr>
            <w:r w:rsidRPr="00B72873">
              <w:rPr>
                <w:rFonts w:ascii="Times New Roman" w:eastAsia="Times New Roman" w:hAnsi="Times New Roman"/>
                <w:color w:val="000000"/>
                <w:sz w:val="18"/>
                <w:szCs w:val="18"/>
                <w:lang w:eastAsia="pl-PL"/>
              </w:rPr>
              <w:t>Suma aktywów w walucie</w:t>
            </w:r>
          </w:p>
        </w:tc>
        <w:tc>
          <w:tcPr>
            <w:tcW w:w="940" w:type="dxa"/>
            <w:tcBorders>
              <w:top w:val="single" w:sz="8" w:space="0" w:color="000000"/>
              <w:left w:val="single" w:sz="8" w:space="0" w:color="000000"/>
              <w:bottom w:val="single" w:sz="8" w:space="0" w:color="000000"/>
            </w:tcBorders>
            <w:shd w:val="clear" w:color="auto" w:fill="auto"/>
            <w:vAlign w:val="center"/>
          </w:tcPr>
          <w:p w14:paraId="565650D1" w14:textId="77777777" w:rsidR="001B3C5F" w:rsidRPr="00B72873" w:rsidRDefault="001B3C5F" w:rsidP="00580CA6">
            <w:pPr>
              <w:spacing w:after="0" w:line="240" w:lineRule="auto"/>
              <w:jc w:val="right"/>
              <w:rPr>
                <w:rFonts w:ascii="Times New Roman" w:hAnsi="Times New Roman"/>
                <w:sz w:val="18"/>
                <w:szCs w:val="18"/>
              </w:rPr>
            </w:pPr>
            <w:r w:rsidRPr="00B72873">
              <w:rPr>
                <w:rFonts w:ascii="Times New Roman" w:hAnsi="Times New Roman"/>
                <w:sz w:val="18"/>
                <w:szCs w:val="18"/>
              </w:rPr>
              <w:t>292 376,73</w:t>
            </w:r>
          </w:p>
        </w:tc>
        <w:tc>
          <w:tcPr>
            <w:tcW w:w="1053" w:type="dxa"/>
            <w:tcBorders>
              <w:top w:val="single" w:sz="8" w:space="0" w:color="000000"/>
              <w:left w:val="single" w:sz="8" w:space="0" w:color="000000"/>
              <w:bottom w:val="single" w:sz="8" w:space="0" w:color="000000"/>
            </w:tcBorders>
            <w:shd w:val="clear" w:color="auto" w:fill="auto"/>
            <w:vAlign w:val="center"/>
          </w:tcPr>
          <w:p w14:paraId="4867467B" w14:textId="77777777" w:rsidR="001B3C5F" w:rsidRPr="00B72873" w:rsidRDefault="001B3C5F" w:rsidP="00580CA6">
            <w:pPr>
              <w:spacing w:after="0" w:line="240" w:lineRule="auto"/>
              <w:jc w:val="right"/>
              <w:rPr>
                <w:rFonts w:ascii="Times New Roman" w:hAnsi="Times New Roman"/>
                <w:sz w:val="18"/>
                <w:szCs w:val="18"/>
              </w:rPr>
            </w:pPr>
            <w:r w:rsidRPr="00B72873">
              <w:rPr>
                <w:rFonts w:ascii="Times New Roman" w:hAnsi="Times New Roman"/>
                <w:sz w:val="18"/>
                <w:szCs w:val="18"/>
              </w:rPr>
              <w:t>1 245 086,30</w:t>
            </w:r>
          </w:p>
        </w:tc>
        <w:tc>
          <w:tcPr>
            <w:tcW w:w="950" w:type="dxa"/>
            <w:tcBorders>
              <w:top w:val="single" w:sz="8" w:space="0" w:color="000000"/>
              <w:left w:val="single" w:sz="8" w:space="0" w:color="000000"/>
              <w:bottom w:val="single" w:sz="8" w:space="0" w:color="000000"/>
            </w:tcBorders>
            <w:shd w:val="clear" w:color="auto" w:fill="auto"/>
            <w:vAlign w:val="center"/>
          </w:tcPr>
          <w:p w14:paraId="3D07AD62"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1,12%</w:t>
            </w:r>
          </w:p>
        </w:tc>
        <w:tc>
          <w:tcPr>
            <w:tcW w:w="860" w:type="dxa"/>
            <w:tcBorders>
              <w:top w:val="single" w:sz="8" w:space="0" w:color="000000"/>
              <w:left w:val="single" w:sz="8" w:space="0" w:color="000000"/>
              <w:bottom w:val="single" w:sz="8" w:space="0" w:color="000000"/>
            </w:tcBorders>
            <w:shd w:val="clear" w:color="auto" w:fill="auto"/>
            <w:vAlign w:val="center"/>
          </w:tcPr>
          <w:p w14:paraId="6A935421"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14 391,84</w:t>
            </w:r>
          </w:p>
        </w:tc>
        <w:tc>
          <w:tcPr>
            <w:tcW w:w="982" w:type="dxa"/>
            <w:tcBorders>
              <w:top w:val="single" w:sz="8" w:space="0" w:color="000000"/>
              <w:left w:val="single" w:sz="8" w:space="0" w:color="000000"/>
              <w:bottom w:val="single" w:sz="8" w:space="0" w:color="000000"/>
            </w:tcBorders>
            <w:shd w:val="clear" w:color="auto" w:fill="auto"/>
            <w:vAlign w:val="center"/>
          </w:tcPr>
          <w:p w14:paraId="310F536D"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54 655,89</w:t>
            </w:r>
          </w:p>
        </w:tc>
        <w:tc>
          <w:tcPr>
            <w:tcW w:w="709" w:type="dxa"/>
            <w:tcBorders>
              <w:top w:val="single" w:sz="8" w:space="0" w:color="000000"/>
              <w:left w:val="single" w:sz="8" w:space="0" w:color="000000"/>
              <w:bottom w:val="single" w:sz="8" w:space="0" w:color="000000"/>
            </w:tcBorders>
            <w:shd w:val="clear" w:color="auto" w:fill="auto"/>
            <w:vAlign w:val="center"/>
          </w:tcPr>
          <w:p w14:paraId="3400437B"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0,05%</w:t>
            </w:r>
          </w:p>
        </w:tc>
        <w:tc>
          <w:tcPr>
            <w:tcW w:w="851" w:type="dxa"/>
            <w:tcBorders>
              <w:top w:val="single" w:sz="8" w:space="0" w:color="000000"/>
              <w:left w:val="single" w:sz="8" w:space="0" w:color="000000"/>
              <w:bottom w:val="single" w:sz="8" w:space="0" w:color="000000"/>
            </w:tcBorders>
            <w:shd w:val="clear" w:color="auto" w:fill="auto"/>
            <w:vAlign w:val="center"/>
          </w:tcPr>
          <w:p w14:paraId="09299915"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39 974,72</w:t>
            </w:r>
          </w:p>
        </w:tc>
        <w:tc>
          <w:tcPr>
            <w:tcW w:w="850" w:type="dxa"/>
            <w:tcBorders>
              <w:top w:val="single" w:sz="8" w:space="0" w:color="000000"/>
              <w:left w:val="single" w:sz="8" w:space="0" w:color="000000"/>
              <w:bottom w:val="single" w:sz="8" w:space="0" w:color="000000"/>
            </w:tcBorders>
            <w:shd w:val="clear" w:color="auto" w:fill="auto"/>
            <w:vAlign w:val="center"/>
          </w:tcPr>
          <w:p w14:paraId="1BE2747A"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199 757,67</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9B287D"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0,18%</w:t>
            </w:r>
          </w:p>
        </w:tc>
      </w:tr>
      <w:tr w:rsidR="001B3C5F" w:rsidRPr="00B72873" w14:paraId="58960A3C" w14:textId="77777777" w:rsidTr="00B72873">
        <w:trPr>
          <w:trHeight w:val="50"/>
        </w:trPr>
        <w:tc>
          <w:tcPr>
            <w:tcW w:w="1372" w:type="dxa"/>
            <w:tcBorders>
              <w:top w:val="single" w:sz="8" w:space="0" w:color="000000"/>
              <w:left w:val="single" w:sz="8" w:space="0" w:color="000000"/>
              <w:bottom w:val="single" w:sz="8" w:space="0" w:color="000000"/>
            </w:tcBorders>
            <w:shd w:val="clear" w:color="auto" w:fill="auto"/>
            <w:vAlign w:val="center"/>
          </w:tcPr>
          <w:p w14:paraId="64361B5C" w14:textId="77777777" w:rsidR="001B3C5F" w:rsidRPr="00B72873" w:rsidRDefault="001B3C5F" w:rsidP="00580CA6">
            <w:pPr>
              <w:spacing w:after="0" w:line="240" w:lineRule="auto"/>
              <w:rPr>
                <w:sz w:val="18"/>
                <w:szCs w:val="18"/>
              </w:rPr>
            </w:pPr>
            <w:r w:rsidRPr="00B72873">
              <w:rPr>
                <w:rFonts w:ascii="Times New Roman" w:eastAsia="Times New Roman" w:hAnsi="Times New Roman"/>
                <w:color w:val="000000"/>
                <w:sz w:val="18"/>
                <w:szCs w:val="18"/>
                <w:lang w:eastAsia="pl-PL"/>
              </w:rPr>
              <w:t>Suma pasywów w walucie</w:t>
            </w:r>
          </w:p>
        </w:tc>
        <w:tc>
          <w:tcPr>
            <w:tcW w:w="940" w:type="dxa"/>
            <w:tcBorders>
              <w:top w:val="single" w:sz="8" w:space="0" w:color="000000"/>
              <w:left w:val="single" w:sz="8" w:space="0" w:color="000000"/>
              <w:bottom w:val="single" w:sz="8" w:space="0" w:color="000000"/>
            </w:tcBorders>
            <w:shd w:val="clear" w:color="auto" w:fill="auto"/>
            <w:vAlign w:val="center"/>
          </w:tcPr>
          <w:p w14:paraId="0AC4921C" w14:textId="77777777" w:rsidR="001B3C5F" w:rsidRPr="00B72873" w:rsidRDefault="001B3C5F" w:rsidP="00580CA6">
            <w:pPr>
              <w:spacing w:after="0" w:line="240" w:lineRule="auto"/>
              <w:jc w:val="right"/>
              <w:rPr>
                <w:rFonts w:ascii="Times New Roman" w:hAnsi="Times New Roman"/>
                <w:sz w:val="18"/>
                <w:szCs w:val="18"/>
              </w:rPr>
            </w:pPr>
            <w:r w:rsidRPr="00B72873">
              <w:rPr>
                <w:rFonts w:ascii="Times New Roman" w:hAnsi="Times New Roman"/>
                <w:sz w:val="18"/>
                <w:szCs w:val="18"/>
              </w:rPr>
              <w:t>272 500,65</w:t>
            </w:r>
          </w:p>
        </w:tc>
        <w:tc>
          <w:tcPr>
            <w:tcW w:w="1053" w:type="dxa"/>
            <w:tcBorders>
              <w:top w:val="single" w:sz="8" w:space="0" w:color="000000"/>
              <w:left w:val="single" w:sz="8" w:space="0" w:color="000000"/>
              <w:bottom w:val="single" w:sz="8" w:space="0" w:color="000000"/>
            </w:tcBorders>
            <w:shd w:val="clear" w:color="auto" w:fill="auto"/>
            <w:vAlign w:val="center"/>
          </w:tcPr>
          <w:p w14:paraId="3225EF0D" w14:textId="77777777" w:rsidR="001B3C5F" w:rsidRPr="00B72873" w:rsidRDefault="001B3C5F" w:rsidP="00580CA6">
            <w:pPr>
              <w:spacing w:after="0" w:line="240" w:lineRule="auto"/>
              <w:jc w:val="right"/>
              <w:rPr>
                <w:rFonts w:ascii="Times New Roman" w:hAnsi="Times New Roman"/>
                <w:sz w:val="18"/>
                <w:szCs w:val="18"/>
              </w:rPr>
            </w:pPr>
            <w:r w:rsidRPr="00B72873">
              <w:rPr>
                <w:rFonts w:ascii="Times New Roman" w:hAnsi="Times New Roman"/>
                <w:sz w:val="18"/>
                <w:szCs w:val="18"/>
              </w:rPr>
              <w:t>1 160 444,02</w:t>
            </w:r>
          </w:p>
        </w:tc>
        <w:tc>
          <w:tcPr>
            <w:tcW w:w="950" w:type="dxa"/>
            <w:tcBorders>
              <w:top w:val="single" w:sz="8" w:space="0" w:color="000000"/>
              <w:left w:val="single" w:sz="8" w:space="0" w:color="000000"/>
              <w:bottom w:val="single" w:sz="8" w:space="0" w:color="000000"/>
            </w:tcBorders>
            <w:shd w:val="clear" w:color="auto" w:fill="auto"/>
            <w:vAlign w:val="center"/>
          </w:tcPr>
          <w:p w14:paraId="74508602"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1,05%</w:t>
            </w:r>
          </w:p>
        </w:tc>
        <w:tc>
          <w:tcPr>
            <w:tcW w:w="860" w:type="dxa"/>
            <w:tcBorders>
              <w:top w:val="single" w:sz="8" w:space="0" w:color="000000"/>
              <w:left w:val="single" w:sz="8" w:space="0" w:color="000000"/>
              <w:bottom w:val="single" w:sz="8" w:space="0" w:color="000000"/>
            </w:tcBorders>
            <w:shd w:val="clear" w:color="auto" w:fill="auto"/>
            <w:vAlign w:val="center"/>
          </w:tcPr>
          <w:p w14:paraId="5031F515"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15 494,94</w:t>
            </w:r>
          </w:p>
        </w:tc>
        <w:tc>
          <w:tcPr>
            <w:tcW w:w="982" w:type="dxa"/>
            <w:tcBorders>
              <w:top w:val="single" w:sz="8" w:space="0" w:color="000000"/>
              <w:left w:val="single" w:sz="8" w:space="0" w:color="000000"/>
              <w:bottom w:val="single" w:sz="8" w:space="0" w:color="000000"/>
            </w:tcBorders>
            <w:shd w:val="clear" w:color="auto" w:fill="auto"/>
            <w:vAlign w:val="center"/>
          </w:tcPr>
          <w:p w14:paraId="2794184C"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58 845,13</w:t>
            </w:r>
          </w:p>
        </w:tc>
        <w:tc>
          <w:tcPr>
            <w:tcW w:w="709" w:type="dxa"/>
            <w:tcBorders>
              <w:top w:val="single" w:sz="8" w:space="0" w:color="000000"/>
              <w:left w:val="single" w:sz="8" w:space="0" w:color="000000"/>
              <w:bottom w:val="single" w:sz="8" w:space="0" w:color="000000"/>
            </w:tcBorders>
            <w:shd w:val="clear" w:color="auto" w:fill="auto"/>
            <w:vAlign w:val="center"/>
          </w:tcPr>
          <w:p w14:paraId="7774E423"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0,05%</w:t>
            </w:r>
          </w:p>
        </w:tc>
        <w:tc>
          <w:tcPr>
            <w:tcW w:w="851" w:type="dxa"/>
            <w:tcBorders>
              <w:top w:val="single" w:sz="8" w:space="0" w:color="000000"/>
              <w:left w:val="single" w:sz="8" w:space="0" w:color="000000"/>
              <w:bottom w:val="single" w:sz="8" w:space="0" w:color="000000"/>
            </w:tcBorders>
            <w:shd w:val="clear" w:color="auto" w:fill="auto"/>
            <w:vAlign w:val="center"/>
          </w:tcPr>
          <w:p w14:paraId="5A610C52"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38 818,94</w:t>
            </w:r>
          </w:p>
        </w:tc>
        <w:tc>
          <w:tcPr>
            <w:tcW w:w="850" w:type="dxa"/>
            <w:tcBorders>
              <w:top w:val="single" w:sz="8" w:space="0" w:color="000000"/>
              <w:left w:val="single" w:sz="8" w:space="0" w:color="000000"/>
              <w:bottom w:val="single" w:sz="8" w:space="0" w:color="000000"/>
            </w:tcBorders>
            <w:shd w:val="clear" w:color="auto" w:fill="auto"/>
            <w:vAlign w:val="center"/>
          </w:tcPr>
          <w:p w14:paraId="58229E7F"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193 982,13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275FE1"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0,18%</w:t>
            </w:r>
          </w:p>
        </w:tc>
      </w:tr>
      <w:tr w:rsidR="001B3C5F" w:rsidRPr="00B72873" w14:paraId="20E760C0" w14:textId="77777777" w:rsidTr="00B72873">
        <w:trPr>
          <w:trHeight w:val="50"/>
        </w:trPr>
        <w:tc>
          <w:tcPr>
            <w:tcW w:w="1372" w:type="dxa"/>
            <w:tcBorders>
              <w:top w:val="single" w:sz="8" w:space="0" w:color="000000"/>
              <w:left w:val="single" w:sz="8" w:space="0" w:color="000000"/>
              <w:bottom w:val="single" w:sz="8" w:space="0" w:color="000000"/>
            </w:tcBorders>
            <w:shd w:val="clear" w:color="auto" w:fill="auto"/>
            <w:vAlign w:val="center"/>
          </w:tcPr>
          <w:p w14:paraId="0F13954A" w14:textId="77777777" w:rsidR="001B3C5F" w:rsidRPr="00B72873" w:rsidRDefault="001B3C5F" w:rsidP="00580CA6">
            <w:pPr>
              <w:spacing w:after="0" w:line="240" w:lineRule="auto"/>
              <w:rPr>
                <w:sz w:val="18"/>
                <w:szCs w:val="18"/>
              </w:rPr>
            </w:pPr>
            <w:r w:rsidRPr="00B72873">
              <w:rPr>
                <w:rFonts w:ascii="Times New Roman" w:eastAsia="Times New Roman" w:hAnsi="Times New Roman"/>
                <w:color w:val="000000"/>
                <w:sz w:val="18"/>
                <w:szCs w:val="18"/>
                <w:lang w:eastAsia="pl-PL"/>
              </w:rPr>
              <w:t xml:space="preserve">Kurs </w:t>
            </w:r>
          </w:p>
        </w:tc>
        <w:tc>
          <w:tcPr>
            <w:tcW w:w="2943" w:type="dxa"/>
            <w:gridSpan w:val="3"/>
            <w:tcBorders>
              <w:top w:val="single" w:sz="8" w:space="0" w:color="000000"/>
              <w:left w:val="single" w:sz="8" w:space="0" w:color="000000"/>
              <w:bottom w:val="single" w:sz="8" w:space="0" w:color="000000"/>
            </w:tcBorders>
            <w:shd w:val="clear" w:color="auto" w:fill="auto"/>
            <w:vAlign w:val="center"/>
          </w:tcPr>
          <w:p w14:paraId="7D52E429"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4,2585</w:t>
            </w:r>
          </w:p>
        </w:tc>
        <w:tc>
          <w:tcPr>
            <w:tcW w:w="2551" w:type="dxa"/>
            <w:gridSpan w:val="3"/>
            <w:tcBorders>
              <w:top w:val="single" w:sz="8" w:space="0" w:color="000000"/>
              <w:left w:val="single" w:sz="8" w:space="0" w:color="000000"/>
              <w:bottom w:val="single" w:sz="8" w:space="0" w:color="000000"/>
            </w:tcBorders>
            <w:shd w:val="clear" w:color="auto" w:fill="auto"/>
            <w:vAlign w:val="center"/>
          </w:tcPr>
          <w:p w14:paraId="70080682"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3,7977</w:t>
            </w: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EEE8EC0" w14:textId="77777777" w:rsidR="001B3C5F" w:rsidRPr="00B72873" w:rsidRDefault="001B3C5F" w:rsidP="00580CA6">
            <w:pPr>
              <w:spacing w:after="0" w:line="240" w:lineRule="auto"/>
              <w:jc w:val="right"/>
              <w:rPr>
                <w:sz w:val="18"/>
                <w:szCs w:val="18"/>
              </w:rPr>
            </w:pPr>
            <w:r w:rsidRPr="00B72873">
              <w:rPr>
                <w:rFonts w:ascii="Times New Roman" w:eastAsia="Times New Roman" w:hAnsi="Times New Roman"/>
                <w:color w:val="000000"/>
                <w:sz w:val="18"/>
                <w:szCs w:val="18"/>
                <w:lang w:eastAsia="pl-PL"/>
              </w:rPr>
              <w:t>4,9971</w:t>
            </w:r>
          </w:p>
        </w:tc>
      </w:tr>
    </w:tbl>
    <w:p w14:paraId="6DBE7BA4" w14:textId="77777777" w:rsidR="001B3C5F" w:rsidRDefault="001B3C5F" w:rsidP="00A75BAA">
      <w:pPr>
        <w:jc w:val="both"/>
        <w:rPr>
          <w:rFonts w:ascii="Times New Roman" w:hAnsi="Times New Roman"/>
        </w:rPr>
      </w:pPr>
    </w:p>
    <w:p w14:paraId="6E1D13EE" w14:textId="77777777" w:rsidR="00A75BAA" w:rsidRPr="000B4ED5" w:rsidRDefault="00A75BAA" w:rsidP="00A75BAA">
      <w:pPr>
        <w:jc w:val="both"/>
        <w:rPr>
          <w:rFonts w:ascii="Times New Roman" w:hAnsi="Times New Roman"/>
        </w:rPr>
      </w:pPr>
      <w:r w:rsidRPr="000B4ED5">
        <w:rPr>
          <w:rFonts w:ascii="Times New Roman" w:hAnsi="Times New Roman"/>
        </w:rPr>
        <w:t>Skala działalności walutowej Banku nie przekracza 5% sumy bilansowe</w:t>
      </w:r>
      <w:r>
        <w:rPr>
          <w:rFonts w:ascii="Times New Roman" w:hAnsi="Times New Roman"/>
        </w:rPr>
        <w:t>j</w:t>
      </w:r>
      <w:r w:rsidR="00B23868">
        <w:rPr>
          <w:rFonts w:ascii="Times New Roman" w:hAnsi="Times New Roman"/>
        </w:rPr>
        <w:t xml:space="preserve">, jest </w:t>
      </w:r>
      <w:r w:rsidR="00B23868" w:rsidRPr="000B4ED5">
        <w:rPr>
          <w:rFonts w:ascii="Times New Roman" w:hAnsi="Times New Roman"/>
        </w:rPr>
        <w:t>nieznacząca</w:t>
      </w:r>
      <w:r w:rsidR="00B23868">
        <w:rPr>
          <w:rFonts w:ascii="Times New Roman" w:hAnsi="Times New Roman"/>
        </w:rPr>
        <w:t>.</w:t>
      </w:r>
    </w:p>
    <w:p w14:paraId="6C92726A" w14:textId="0C11F08A" w:rsidR="00A75BAA" w:rsidRDefault="001B3C5F" w:rsidP="00A75BAA">
      <w:pPr>
        <w:jc w:val="both"/>
        <w:rPr>
          <w:rFonts w:ascii="Times New Roman" w:hAnsi="Times New Roman"/>
        </w:rPr>
      </w:pPr>
      <w:r>
        <w:rPr>
          <w:rFonts w:ascii="Times New Roman" w:hAnsi="Times New Roman"/>
        </w:rPr>
        <w:t xml:space="preserve">Na koniec badanego okresu globalna pozycja walutowa całkowita wynosiła </w:t>
      </w:r>
      <w:r>
        <w:rPr>
          <w:rFonts w:ascii="Times New Roman" w:eastAsia="Times New Roman" w:hAnsi="Times New Roman"/>
          <w:color w:val="000000"/>
          <w:lang w:eastAsia="pl-PL"/>
        </w:rPr>
        <w:t>95 tyś zł</w:t>
      </w:r>
      <w:r>
        <w:rPr>
          <w:rFonts w:ascii="Times New Roman" w:hAnsi="Times New Roman"/>
        </w:rPr>
        <w:t xml:space="preserve">, co stanowiło 1,74% funduszy własnych. </w:t>
      </w:r>
      <w:r w:rsidR="00A75BAA">
        <w:rPr>
          <w:rFonts w:ascii="Times New Roman" w:hAnsi="Times New Roman"/>
        </w:rPr>
        <w:t>Na koniec grudnia nie wystąpiło przekroczenie wyznaczonego limitu dotyczącego pozycji całkowitej w związku z czym nie utworzono wymogu kapitałowego na ryzyko walutowe.</w:t>
      </w:r>
    </w:p>
    <w:p w14:paraId="299CB0C3" w14:textId="77777777" w:rsidR="00F31983" w:rsidRDefault="00F31983" w:rsidP="00AD7AF8">
      <w:pPr>
        <w:pStyle w:val="Akapitzlist"/>
        <w:spacing w:line="240" w:lineRule="auto"/>
        <w:ind w:left="0"/>
        <w:jc w:val="center"/>
        <w:rPr>
          <w:rFonts w:ascii="Times New Roman" w:hAnsi="Times New Roman" w:cs="Times New Roman"/>
          <w:b/>
          <w:sz w:val="24"/>
          <w:szCs w:val="24"/>
        </w:rPr>
      </w:pPr>
    </w:p>
    <w:p w14:paraId="7B35F304" w14:textId="7455CEB5" w:rsidR="00A1711E" w:rsidRDefault="005E7617" w:rsidP="00AD7AF8">
      <w:pPr>
        <w:pStyle w:val="Akapitzlist"/>
        <w:spacing w:line="240" w:lineRule="auto"/>
        <w:ind w:left="0"/>
        <w:jc w:val="center"/>
        <w:rPr>
          <w:rFonts w:ascii="Times New Roman" w:hAnsi="Times New Roman" w:cs="Times New Roman"/>
          <w:b/>
          <w:sz w:val="24"/>
          <w:szCs w:val="24"/>
        </w:rPr>
      </w:pPr>
      <w:r w:rsidRPr="00AD7AF8">
        <w:rPr>
          <w:rFonts w:ascii="Times New Roman" w:hAnsi="Times New Roman" w:cs="Times New Roman"/>
          <w:b/>
        </w:rPr>
        <w:t>XI</w:t>
      </w:r>
      <w:r w:rsidR="00B40B8C">
        <w:rPr>
          <w:rFonts w:ascii="Times New Roman" w:hAnsi="Times New Roman" w:cs="Times New Roman"/>
          <w:b/>
        </w:rPr>
        <w:t>V</w:t>
      </w:r>
      <w:r>
        <w:rPr>
          <w:rFonts w:ascii="Times New Roman" w:hAnsi="Times New Roman" w:cs="Times New Roman"/>
          <w:b/>
        </w:rPr>
        <w:t>.</w:t>
      </w:r>
      <w:r w:rsidRPr="00AD7AF8">
        <w:rPr>
          <w:rFonts w:ascii="Times New Roman" w:hAnsi="Times New Roman" w:cs="Times New Roman"/>
          <w:b/>
        </w:rPr>
        <w:t xml:space="preserve"> </w:t>
      </w:r>
      <w:r w:rsidR="00A1711E" w:rsidRPr="007902AA">
        <w:rPr>
          <w:rFonts w:ascii="Times New Roman" w:hAnsi="Times New Roman" w:cs="Times New Roman"/>
          <w:b/>
          <w:sz w:val="24"/>
          <w:szCs w:val="24"/>
        </w:rPr>
        <w:t xml:space="preserve"> Redukcja ryzyka kredytowego przy z</w:t>
      </w:r>
      <w:r w:rsidR="007902AA" w:rsidRPr="007902AA">
        <w:rPr>
          <w:rFonts w:ascii="Times New Roman" w:hAnsi="Times New Roman" w:cs="Times New Roman"/>
          <w:b/>
          <w:sz w:val="24"/>
          <w:szCs w:val="24"/>
        </w:rPr>
        <w:t>astosowaniu metody standardowej</w:t>
      </w:r>
    </w:p>
    <w:p w14:paraId="5FB8D9E9" w14:textId="77777777" w:rsidR="00F31983" w:rsidRPr="007902AA" w:rsidRDefault="00F31983" w:rsidP="00AD7AF8">
      <w:pPr>
        <w:pStyle w:val="Akapitzlist"/>
        <w:spacing w:line="240" w:lineRule="auto"/>
        <w:ind w:left="0"/>
        <w:jc w:val="center"/>
        <w:rPr>
          <w:rFonts w:ascii="Times New Roman" w:hAnsi="Times New Roman" w:cs="Times New Roman"/>
          <w:b/>
          <w:sz w:val="24"/>
          <w:szCs w:val="24"/>
        </w:rPr>
      </w:pPr>
    </w:p>
    <w:p w14:paraId="1C729E7E" w14:textId="77777777" w:rsidR="000F58C4" w:rsidRPr="00AD7AF8" w:rsidRDefault="000F58C4" w:rsidP="009A6274">
      <w:pPr>
        <w:pStyle w:val="Akapitzlist"/>
        <w:numPr>
          <w:ilvl w:val="0"/>
          <w:numId w:val="20"/>
        </w:numPr>
        <w:spacing w:line="240" w:lineRule="auto"/>
        <w:ind w:left="426" w:hanging="426"/>
        <w:jc w:val="both"/>
        <w:rPr>
          <w:rFonts w:ascii="Times New Roman" w:hAnsi="Times New Roman" w:cs="Times New Roman"/>
          <w:b/>
        </w:rPr>
      </w:pPr>
      <w:r w:rsidRPr="00AD7AF8">
        <w:rPr>
          <w:rFonts w:ascii="Times New Roman" w:hAnsi="Times New Roman" w:cs="Times New Roman"/>
          <w:b/>
        </w:rPr>
        <w:t>Polityka i procedury wyceny i zarządzania zabezpieczeniami kredytowymi</w:t>
      </w:r>
    </w:p>
    <w:p w14:paraId="74371685" w14:textId="77777777" w:rsidR="00D728A3" w:rsidRPr="00AD7AF8" w:rsidRDefault="00D728A3"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Zabezpieczenie wierzytelności ma na celu zapewnienie Bankowi zwrotu należności Banku z tytułu udzielonego kredytu, pożyczki itp. wraz z odsetkami, prowizjami i innymi kosztami Banku lub wykonania przez dłużnika innego zobowiązania pieniężnego wobec Banku, w razie gdyby dłużnik nie wywiązał się w terminie z warunków umowy.</w:t>
      </w:r>
    </w:p>
    <w:p w14:paraId="0067E8DA" w14:textId="77777777" w:rsidR="000F58C4" w:rsidRPr="00AD7AF8" w:rsidRDefault="00D728A3"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Bank stosuje jedno lub kilka zabezpieczeń równocześnie w zależności od oceny stopnia  ryzyka kredytowego. Bank weryfikuje wartość zabezpieczeń w oparciu o zapisy regulacji wewnętrznych Banku dotyczących monitoringu  zabezpieczeń w oparciu o dostępne dokumenty, bazy danych, wizyty na miejscu i inne infor</w:t>
      </w:r>
      <w:r w:rsidR="006E7107" w:rsidRPr="00AD7AF8">
        <w:rPr>
          <w:rFonts w:ascii="Times New Roman" w:hAnsi="Times New Roman" w:cs="Times New Roman"/>
        </w:rPr>
        <w:t>m</w:t>
      </w:r>
      <w:r w:rsidRPr="00AD7AF8">
        <w:rPr>
          <w:rFonts w:ascii="Times New Roman" w:hAnsi="Times New Roman" w:cs="Times New Roman"/>
        </w:rPr>
        <w:t>acje</w:t>
      </w:r>
    </w:p>
    <w:p w14:paraId="2D5CA27A" w14:textId="77777777" w:rsidR="00294127" w:rsidRPr="00AD7AF8" w:rsidRDefault="00294127" w:rsidP="00AD7AF8">
      <w:pPr>
        <w:pStyle w:val="Akapitzlist"/>
        <w:spacing w:line="240" w:lineRule="auto"/>
        <w:ind w:left="0"/>
        <w:jc w:val="both"/>
        <w:rPr>
          <w:rFonts w:ascii="Times New Roman" w:hAnsi="Times New Roman" w:cs="Times New Roman"/>
        </w:rPr>
      </w:pPr>
      <w:r w:rsidRPr="00AD7AF8">
        <w:rPr>
          <w:rFonts w:ascii="Times New Roman" w:hAnsi="Times New Roman" w:cs="Times New Roman"/>
        </w:rPr>
        <w:t>Bank stosuje następujące techniki ograniczania ryzyka kredytowego:</w:t>
      </w:r>
    </w:p>
    <w:p w14:paraId="55D1ED66" w14:textId="77777777" w:rsidR="00294127" w:rsidRPr="00AD7AF8" w:rsidRDefault="00294127" w:rsidP="008F63CA">
      <w:pPr>
        <w:pStyle w:val="Akapitzlist"/>
        <w:numPr>
          <w:ilvl w:val="0"/>
          <w:numId w:val="7"/>
        </w:numPr>
        <w:spacing w:line="240" w:lineRule="auto"/>
        <w:ind w:left="1134"/>
        <w:jc w:val="both"/>
        <w:rPr>
          <w:rFonts w:ascii="Times New Roman" w:hAnsi="Times New Roman" w:cs="Times New Roman"/>
        </w:rPr>
      </w:pPr>
      <w:r w:rsidRPr="00AD7AF8">
        <w:rPr>
          <w:rFonts w:ascii="Times New Roman" w:hAnsi="Times New Roman" w:cs="Times New Roman"/>
        </w:rPr>
        <w:t xml:space="preserve">Pomniejszenie podstawy tworzenia rezerw celowych zgodnie z Rozporządzeniem Ministra Finansów z dnia 16 grudnia 2008r. w sprawie tworzenia rezerw celowych na ryzyko związane z </w:t>
      </w:r>
      <w:r w:rsidRPr="00AD7AF8">
        <w:rPr>
          <w:rFonts w:ascii="Times New Roman" w:hAnsi="Times New Roman" w:cs="Times New Roman"/>
        </w:rPr>
        <w:lastRenderedPageBreak/>
        <w:t>działalnością banków</w:t>
      </w:r>
      <w:r w:rsidR="007902AA">
        <w:rPr>
          <w:rFonts w:ascii="Times New Roman" w:hAnsi="Times New Roman" w:cs="Times New Roman"/>
        </w:rPr>
        <w:t xml:space="preserve"> (wraz z późn. zm.)</w:t>
      </w:r>
      <w:r w:rsidRPr="00AD7AF8">
        <w:rPr>
          <w:rFonts w:ascii="Times New Roman" w:hAnsi="Times New Roman" w:cs="Times New Roman"/>
        </w:rPr>
        <w:t>. Bank przyjmuje zabezpieczenia zgodnie z Instrukcją ustanawiania prawnych form zabezpieczeń.</w:t>
      </w:r>
    </w:p>
    <w:p w14:paraId="718D4A6D" w14:textId="77777777" w:rsidR="00294127" w:rsidRPr="00AD7AF8" w:rsidRDefault="00294127" w:rsidP="008F63CA">
      <w:pPr>
        <w:pStyle w:val="Akapitzlist"/>
        <w:numPr>
          <w:ilvl w:val="0"/>
          <w:numId w:val="7"/>
        </w:numPr>
        <w:spacing w:line="240" w:lineRule="auto"/>
        <w:ind w:left="1134"/>
        <w:jc w:val="both"/>
        <w:rPr>
          <w:rFonts w:ascii="Times New Roman" w:hAnsi="Times New Roman" w:cs="Times New Roman"/>
        </w:rPr>
      </w:pPr>
      <w:r w:rsidRPr="00AD7AF8">
        <w:rPr>
          <w:rFonts w:ascii="Times New Roman" w:hAnsi="Times New Roman" w:cs="Times New Roman"/>
        </w:rPr>
        <w:t xml:space="preserve">Pomniejszanie wag ryzyka przypisywanych ekspozycjom kredytowym zabezpieczonym hipotecznie na nieruchomości mieszkalnej w rachunku wymogów kapitałowych na podstawie </w:t>
      </w:r>
      <w:r w:rsidR="00D728A3" w:rsidRPr="00AD7AF8">
        <w:rPr>
          <w:rFonts w:ascii="Times New Roman" w:hAnsi="Times New Roman" w:cs="Times New Roman"/>
        </w:rPr>
        <w:t>Rozporządzenia UE</w:t>
      </w:r>
      <w:r w:rsidR="007902AA">
        <w:rPr>
          <w:rFonts w:ascii="Times New Roman" w:hAnsi="Times New Roman" w:cs="Times New Roman"/>
        </w:rPr>
        <w:t xml:space="preserve"> 575/2013.</w:t>
      </w:r>
    </w:p>
    <w:p w14:paraId="546D38C6" w14:textId="77777777" w:rsidR="00294127" w:rsidRPr="00AD7AF8" w:rsidRDefault="00294127" w:rsidP="008F63CA">
      <w:pPr>
        <w:pStyle w:val="Akapitzlist"/>
        <w:numPr>
          <w:ilvl w:val="0"/>
          <w:numId w:val="7"/>
        </w:numPr>
        <w:spacing w:line="240" w:lineRule="auto"/>
        <w:ind w:left="1134"/>
        <w:jc w:val="both"/>
        <w:rPr>
          <w:rFonts w:ascii="Times New Roman" w:hAnsi="Times New Roman" w:cs="Times New Roman"/>
        </w:rPr>
      </w:pPr>
      <w:r w:rsidRPr="00AD7AF8">
        <w:rPr>
          <w:rFonts w:ascii="Times New Roman" w:hAnsi="Times New Roman" w:cs="Times New Roman"/>
        </w:rPr>
        <w:t xml:space="preserve">Techniki redukcji ryzyka kredytowego – </w:t>
      </w:r>
      <w:r w:rsidR="00D728A3" w:rsidRPr="00AD7AF8">
        <w:rPr>
          <w:rFonts w:ascii="Times New Roman" w:hAnsi="Times New Roman" w:cs="Times New Roman"/>
        </w:rPr>
        <w:t>zgodnie z Rozporządzeniem UE.</w:t>
      </w:r>
    </w:p>
    <w:p w14:paraId="7D27E376" w14:textId="77777777" w:rsidR="007902AA" w:rsidRDefault="007902AA" w:rsidP="00AD7AF8">
      <w:pPr>
        <w:pStyle w:val="Akapitzlist"/>
        <w:spacing w:line="240" w:lineRule="auto"/>
        <w:ind w:left="0"/>
        <w:jc w:val="both"/>
        <w:rPr>
          <w:rFonts w:ascii="Times New Roman" w:hAnsi="Times New Roman" w:cs="Times New Roman"/>
        </w:rPr>
      </w:pPr>
    </w:p>
    <w:p w14:paraId="7E4E1668" w14:textId="77777777" w:rsidR="0032545C" w:rsidRPr="00AD7AF8" w:rsidRDefault="00D728A3" w:rsidP="00AD7AF8">
      <w:pPr>
        <w:pStyle w:val="Akapitzlist"/>
        <w:spacing w:line="240" w:lineRule="auto"/>
        <w:ind w:left="0"/>
        <w:jc w:val="both"/>
        <w:rPr>
          <w:rFonts w:ascii="Times New Roman" w:hAnsi="Times New Roman" w:cs="Times New Roman"/>
        </w:rPr>
      </w:pPr>
      <w:r w:rsidRPr="00AD7AF8">
        <w:rPr>
          <w:rFonts w:ascii="Times New Roman" w:hAnsi="Times New Roman" w:cs="Times New Roman"/>
        </w:rPr>
        <w:t>B</w:t>
      </w:r>
      <w:r w:rsidR="0032545C" w:rsidRPr="00AD7AF8">
        <w:rPr>
          <w:rFonts w:ascii="Times New Roman" w:hAnsi="Times New Roman" w:cs="Times New Roman"/>
        </w:rPr>
        <w:t>ank dąży do ograniczenia ryzyk przez wyznaczenie limitów odnośnie każdego z rodzajów ryzyka. W ramach ryzyka kredytowego oraz ryzyka koncentracji wyznaczone są limity akcji kredytowej, w odniesieniu do branż, zabezpieczeń, grup klientów, produktów</w:t>
      </w:r>
      <w:r w:rsidR="006F7FD4" w:rsidRPr="00AD7AF8">
        <w:rPr>
          <w:rFonts w:ascii="Times New Roman" w:hAnsi="Times New Roman" w:cs="Times New Roman"/>
        </w:rPr>
        <w:t>. Działalność kredytową cechuje dążenie do zachowania równowagi pomiędzy dochodowością, a bezpieczeństwem. Równowaga ta jest możliwa dzięki podejmowaniu przez Bank odpowiednich działań zabezpieczających przed skutkami ryzyka. Działania zabezpieczające podejmowane są na dwóch podstawowych obszarach:</w:t>
      </w:r>
    </w:p>
    <w:p w14:paraId="14BE8D65" w14:textId="77777777" w:rsidR="006F7FD4" w:rsidRPr="00AD7AF8" w:rsidRDefault="006F7FD4" w:rsidP="008F63CA">
      <w:pPr>
        <w:pStyle w:val="Akapitzlist"/>
        <w:numPr>
          <w:ilvl w:val="0"/>
          <w:numId w:val="3"/>
        </w:numPr>
        <w:spacing w:line="240" w:lineRule="auto"/>
        <w:ind w:left="1134"/>
        <w:jc w:val="both"/>
        <w:rPr>
          <w:rFonts w:ascii="Times New Roman" w:hAnsi="Times New Roman" w:cs="Times New Roman"/>
        </w:rPr>
      </w:pPr>
      <w:r w:rsidRPr="00AD7AF8">
        <w:rPr>
          <w:rFonts w:ascii="Times New Roman" w:hAnsi="Times New Roman" w:cs="Times New Roman"/>
        </w:rPr>
        <w:t>ryzyko pojedynczej transakcji (wdrożenie metod oceny zdolności kredytowej dostosowanych do charakterystyki ryzyka poszczególnych grup kredytobiorców, wdrożenie metod ograniczających nadmierne zadłużanie się gospodarstw domowych, kredytowanych przez Bank, zatwierdzenie zasad monitorowania sytuacji ekonomiczno – finansowej oraz zabezpieczeń, ze szczególnym uwzględnieniem Rekomendacji „T”</w:t>
      </w:r>
      <w:r w:rsidR="006727C0" w:rsidRPr="00AD7AF8">
        <w:rPr>
          <w:rFonts w:ascii="Times New Roman" w:hAnsi="Times New Roman" w:cs="Times New Roman"/>
        </w:rPr>
        <w:t xml:space="preserve"> i „S”</w:t>
      </w:r>
      <w:r w:rsidRPr="00AD7AF8">
        <w:rPr>
          <w:rFonts w:ascii="Times New Roman" w:hAnsi="Times New Roman" w:cs="Times New Roman"/>
        </w:rPr>
        <w:t>, przeprowadzenie klasyfikacji ekspozycji kredytowych i tworzenia rezerw zgodnie z Rozporządzeniem Ministra Finansów, udzielanie pełnomocnictw do podejmowania decyzji kredytowych na podstawie systemu kompetencji decyzyjnych obowiązujących w Banku, rozdzielenie funkcji związanych z bezpośrednią obsługą klienta, analiza wskaźnika LtV przy kredytach hipotecznych i mieszkaniowych)</w:t>
      </w:r>
    </w:p>
    <w:p w14:paraId="6D4307AC" w14:textId="77777777" w:rsidR="00B016D1" w:rsidRPr="00AD7AF8" w:rsidRDefault="006F7FD4" w:rsidP="008F63CA">
      <w:pPr>
        <w:pStyle w:val="Akapitzlist"/>
        <w:numPr>
          <w:ilvl w:val="0"/>
          <w:numId w:val="3"/>
        </w:numPr>
        <w:spacing w:line="240" w:lineRule="auto"/>
        <w:ind w:left="1134"/>
        <w:jc w:val="both"/>
        <w:rPr>
          <w:rFonts w:ascii="Times New Roman" w:hAnsi="Times New Roman" w:cs="Times New Roman"/>
        </w:rPr>
      </w:pPr>
      <w:r w:rsidRPr="00AD7AF8">
        <w:rPr>
          <w:rFonts w:ascii="Times New Roman" w:hAnsi="Times New Roman" w:cs="Times New Roman"/>
        </w:rPr>
        <w:t>ryzyko portfela (dywersyfikacja kredytów, pozyskiwanie do współpracy klientów o dobrej sytuacji ekonomicznej, sprawdzonej reputacji, dobrze współpracujących z Bankiem, tworzenie, weryfikacja i analiza wykonywania limitów koncentracji zaangażowań</w:t>
      </w:r>
      <w:r w:rsidR="00B016D1" w:rsidRPr="00AD7AF8">
        <w:rPr>
          <w:rFonts w:ascii="Times New Roman" w:hAnsi="Times New Roman" w:cs="Times New Roman"/>
        </w:rPr>
        <w:t>, opracowanie systemu informacji zarządczej w zakresie działalności kredytowej, analiza rynku, w tym rynku nieruchomości, wykorzystanie baz danych, dotyczących zadłużenia gospodarstw domowych (np. BIK), ocena jakości portfela kredytowego oraz wskaźnika pokrycia rezerwami kredytów zagrożonych</w:t>
      </w:r>
    </w:p>
    <w:p w14:paraId="3F8A433A" w14:textId="77777777" w:rsidR="007902AA" w:rsidRDefault="007902AA" w:rsidP="007902AA">
      <w:pPr>
        <w:pStyle w:val="Akapitzlist"/>
        <w:spacing w:line="240" w:lineRule="auto"/>
        <w:ind w:left="0"/>
        <w:jc w:val="both"/>
        <w:rPr>
          <w:rFonts w:ascii="Times New Roman" w:hAnsi="Times New Roman" w:cs="Times New Roman"/>
        </w:rPr>
      </w:pPr>
    </w:p>
    <w:p w14:paraId="3641D7B8" w14:textId="77777777" w:rsidR="00B016D1" w:rsidRPr="00AD7AF8" w:rsidRDefault="001B7A1A"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B</w:t>
      </w:r>
      <w:r w:rsidR="00B016D1" w:rsidRPr="00AD7AF8">
        <w:rPr>
          <w:rFonts w:ascii="Times New Roman" w:hAnsi="Times New Roman" w:cs="Times New Roman"/>
        </w:rPr>
        <w:t>ank zapewnia niezależność funkcji pomiaru ryzyka kredytowego od działalności kredytowej poprzez wprowadzenie zasady, że osoby opracowujące dane do analizy ryzyka kredytowego nie podejmują decyzji kredytowych.</w:t>
      </w:r>
    </w:p>
    <w:p w14:paraId="16FD8AE8" w14:textId="77777777" w:rsidR="006117CF" w:rsidRPr="00AD7AF8" w:rsidRDefault="006117CF"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W celu ograniczania skutków ryzyka kredytowego Bank przyjmuje zabezpieczenia. Przyjmowane zabezpieczenia powinny spełniać kryteria płynności, wartości oraz dostępu i możliwości ich kontroli, zgodnie z obowiązującą w Banku Instrukcja prawnych form zabezpieczenia  oraz z Instrukcją monitorowania ekspozycji kredytowych i zabezpieczeń oraz k</w:t>
      </w:r>
      <w:r w:rsidR="00313222" w:rsidRPr="00AD7AF8">
        <w:rPr>
          <w:rFonts w:ascii="Times New Roman" w:hAnsi="Times New Roman" w:cs="Times New Roman"/>
        </w:rPr>
        <w:t>lasyfikacji i tworzenia rezerw celowych.</w:t>
      </w:r>
    </w:p>
    <w:p w14:paraId="17C6B0B0" w14:textId="77777777" w:rsidR="00313222" w:rsidRPr="00AD7AF8" w:rsidRDefault="00313222"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Wartość przyjmowanych zabezpieczeń powinna zapewnić odpowiedni poziom wskaźnika LtV przez cały okres kredytowania. Bank stale monitoruje zmiany rynku typowych zabezpieczeń, przyjmowanych przez Bank, tj. rynku nieruchomości. Bank preferuje zabezpieczenia zwrotności kredytów, które pozwalają na:</w:t>
      </w:r>
    </w:p>
    <w:p w14:paraId="3C751193" w14:textId="77777777" w:rsidR="0074498F" w:rsidRPr="00AD7AF8" w:rsidRDefault="0074498F"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 skuteczną egzekucje należności w przypadku braku spłaty kredytów,</w:t>
      </w:r>
    </w:p>
    <w:p w14:paraId="723012BC" w14:textId="77777777" w:rsidR="0074498F" w:rsidRPr="00AD7AF8" w:rsidRDefault="0074498F"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 pomniejszenie podstawy tworzenia rezerw celowych,</w:t>
      </w:r>
    </w:p>
    <w:p w14:paraId="394BAA70" w14:textId="77777777" w:rsidR="0074498F" w:rsidRDefault="0074498F"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 przypisanie niższych wag ryzyka ekspozycjom kredytowym w rachunku wymogu kapitałowego.</w:t>
      </w:r>
    </w:p>
    <w:p w14:paraId="26D65325" w14:textId="77777777" w:rsidR="007902AA" w:rsidRPr="00AD7AF8" w:rsidRDefault="007902AA" w:rsidP="007902AA">
      <w:pPr>
        <w:pStyle w:val="Akapitzlist"/>
        <w:spacing w:line="240" w:lineRule="auto"/>
        <w:ind w:left="0"/>
        <w:jc w:val="both"/>
        <w:rPr>
          <w:rFonts w:ascii="Times New Roman" w:hAnsi="Times New Roman" w:cs="Times New Roman"/>
        </w:rPr>
      </w:pPr>
    </w:p>
    <w:p w14:paraId="07407EB9" w14:textId="77777777" w:rsidR="00375FB5" w:rsidRPr="00AD7AF8" w:rsidRDefault="006E7107" w:rsidP="009A6274">
      <w:pPr>
        <w:pStyle w:val="Akapitzlist"/>
        <w:numPr>
          <w:ilvl w:val="0"/>
          <w:numId w:val="20"/>
        </w:numPr>
        <w:spacing w:line="240" w:lineRule="auto"/>
        <w:ind w:left="0" w:firstLine="0"/>
        <w:jc w:val="both"/>
        <w:rPr>
          <w:rFonts w:ascii="Times New Roman" w:hAnsi="Times New Roman" w:cs="Times New Roman"/>
          <w:b/>
        </w:rPr>
      </w:pPr>
      <w:r w:rsidRPr="00AD7AF8">
        <w:rPr>
          <w:rFonts w:ascii="Times New Roman" w:hAnsi="Times New Roman" w:cs="Times New Roman"/>
          <w:b/>
        </w:rPr>
        <w:t>Opis głównych rodzajów zabezpieczeń kredytowych przyjmowanych przez Bank</w:t>
      </w:r>
    </w:p>
    <w:p w14:paraId="504A2F3C" w14:textId="77777777" w:rsidR="0074498F" w:rsidRDefault="0074498F" w:rsidP="007902AA">
      <w:pPr>
        <w:pStyle w:val="Akapitzlist"/>
        <w:spacing w:line="240" w:lineRule="auto"/>
        <w:ind w:left="0"/>
        <w:jc w:val="both"/>
        <w:rPr>
          <w:rFonts w:ascii="Times New Roman" w:hAnsi="Times New Roman" w:cs="Times New Roman"/>
        </w:rPr>
      </w:pPr>
      <w:r w:rsidRPr="00AD7AF8">
        <w:rPr>
          <w:rFonts w:ascii="Times New Roman" w:hAnsi="Times New Roman" w:cs="Times New Roman"/>
        </w:rPr>
        <w:t>Podstawowe zabezpieczenia, wykorzystywane w Banku to:</w:t>
      </w:r>
    </w:p>
    <w:p w14:paraId="4902FB32" w14:textId="77777777" w:rsidR="00530163" w:rsidRPr="00530163" w:rsidRDefault="00530163" w:rsidP="009A6274">
      <w:pPr>
        <w:numPr>
          <w:ilvl w:val="0"/>
          <w:numId w:val="30"/>
        </w:numPr>
        <w:tabs>
          <w:tab w:val="clear" w:pos="680"/>
          <w:tab w:val="num" w:pos="720"/>
        </w:tabs>
        <w:spacing w:after="0" w:line="240" w:lineRule="auto"/>
        <w:ind w:left="714" w:hanging="357"/>
        <w:jc w:val="both"/>
        <w:rPr>
          <w:rFonts w:ascii="Times New Roman" w:hAnsi="Times New Roman" w:cs="Times New Roman"/>
        </w:rPr>
      </w:pPr>
      <w:r w:rsidRPr="00530163">
        <w:rPr>
          <w:rFonts w:ascii="Times New Roman" w:hAnsi="Times New Roman" w:cs="Times New Roman"/>
        </w:rPr>
        <w:t>weksel in blanco;</w:t>
      </w:r>
    </w:p>
    <w:p w14:paraId="126B844F" w14:textId="77777777" w:rsidR="00530163" w:rsidRPr="00530163" w:rsidRDefault="00530163" w:rsidP="009A6274">
      <w:pPr>
        <w:numPr>
          <w:ilvl w:val="0"/>
          <w:numId w:val="30"/>
        </w:numPr>
        <w:tabs>
          <w:tab w:val="clear" w:pos="680"/>
          <w:tab w:val="num" w:pos="720"/>
        </w:tabs>
        <w:spacing w:after="0" w:line="240" w:lineRule="auto"/>
        <w:ind w:left="714" w:hanging="357"/>
        <w:jc w:val="both"/>
        <w:rPr>
          <w:rFonts w:ascii="Times New Roman" w:hAnsi="Times New Roman" w:cs="Times New Roman"/>
        </w:rPr>
      </w:pPr>
      <w:r w:rsidRPr="00530163">
        <w:rPr>
          <w:rFonts w:ascii="Times New Roman" w:hAnsi="Times New Roman" w:cs="Times New Roman"/>
        </w:rPr>
        <w:t>depozyt bankowy;</w:t>
      </w:r>
    </w:p>
    <w:p w14:paraId="41BF87B1" w14:textId="77777777" w:rsidR="00530163" w:rsidRPr="00530163" w:rsidRDefault="00530163" w:rsidP="009A6274">
      <w:pPr>
        <w:numPr>
          <w:ilvl w:val="0"/>
          <w:numId w:val="30"/>
        </w:numPr>
        <w:tabs>
          <w:tab w:val="clear" w:pos="680"/>
          <w:tab w:val="num" w:pos="720"/>
        </w:tabs>
        <w:spacing w:after="0" w:line="240" w:lineRule="auto"/>
        <w:ind w:left="714" w:hanging="357"/>
        <w:jc w:val="both"/>
        <w:rPr>
          <w:rFonts w:ascii="Times New Roman" w:hAnsi="Times New Roman" w:cs="Times New Roman"/>
        </w:rPr>
      </w:pPr>
      <w:r w:rsidRPr="00530163">
        <w:rPr>
          <w:rFonts w:ascii="Times New Roman" w:hAnsi="Times New Roman" w:cs="Times New Roman"/>
        </w:rPr>
        <w:t>kaucja pieniężna;</w:t>
      </w:r>
    </w:p>
    <w:p w14:paraId="6BC56598" w14:textId="77777777" w:rsidR="00530163" w:rsidRPr="00530163" w:rsidRDefault="00530163" w:rsidP="009A6274">
      <w:pPr>
        <w:numPr>
          <w:ilvl w:val="0"/>
          <w:numId w:val="30"/>
        </w:numPr>
        <w:tabs>
          <w:tab w:val="clear" w:pos="680"/>
          <w:tab w:val="num" w:pos="720"/>
        </w:tabs>
        <w:spacing w:after="0" w:line="240" w:lineRule="auto"/>
        <w:ind w:left="714" w:hanging="357"/>
        <w:jc w:val="both"/>
        <w:rPr>
          <w:rFonts w:ascii="Times New Roman" w:hAnsi="Times New Roman" w:cs="Times New Roman"/>
        </w:rPr>
      </w:pPr>
      <w:r w:rsidRPr="00530163">
        <w:rPr>
          <w:rFonts w:ascii="Times New Roman" w:hAnsi="Times New Roman" w:cs="Times New Roman"/>
        </w:rPr>
        <w:t>blokada środków pieniężnych na rachunku bankowym;</w:t>
      </w:r>
    </w:p>
    <w:p w14:paraId="0ED75F53" w14:textId="77777777" w:rsidR="00530163" w:rsidRPr="00530163" w:rsidRDefault="00530163" w:rsidP="009A6274">
      <w:pPr>
        <w:numPr>
          <w:ilvl w:val="0"/>
          <w:numId w:val="30"/>
        </w:numPr>
        <w:tabs>
          <w:tab w:val="clear" w:pos="680"/>
          <w:tab w:val="num" w:pos="720"/>
        </w:tabs>
        <w:spacing w:after="0" w:line="240" w:lineRule="auto"/>
        <w:ind w:left="714" w:hanging="357"/>
        <w:jc w:val="both"/>
        <w:rPr>
          <w:rFonts w:ascii="Times New Roman" w:hAnsi="Times New Roman" w:cs="Times New Roman"/>
        </w:rPr>
      </w:pPr>
      <w:r w:rsidRPr="00530163">
        <w:rPr>
          <w:rFonts w:ascii="Times New Roman" w:hAnsi="Times New Roman" w:cs="Times New Roman"/>
        </w:rPr>
        <w:t>pełnomocnictwo do dysponowania rachunkiem bankowym;</w:t>
      </w:r>
    </w:p>
    <w:p w14:paraId="7770A43A" w14:textId="77777777" w:rsidR="00530163" w:rsidRPr="00530163" w:rsidRDefault="00530163" w:rsidP="009A6274">
      <w:pPr>
        <w:numPr>
          <w:ilvl w:val="0"/>
          <w:numId w:val="30"/>
        </w:numPr>
        <w:tabs>
          <w:tab w:val="clear" w:pos="680"/>
          <w:tab w:val="num" w:pos="720"/>
        </w:tabs>
        <w:spacing w:after="0" w:line="240" w:lineRule="auto"/>
        <w:ind w:left="714" w:hanging="357"/>
        <w:jc w:val="both"/>
        <w:rPr>
          <w:rFonts w:ascii="Times New Roman" w:hAnsi="Times New Roman" w:cs="Times New Roman"/>
        </w:rPr>
      </w:pPr>
      <w:r w:rsidRPr="00530163">
        <w:rPr>
          <w:rFonts w:ascii="Times New Roman" w:hAnsi="Times New Roman" w:cs="Times New Roman"/>
        </w:rPr>
        <w:t>poręczenie według prawa cywilnego;</w:t>
      </w:r>
    </w:p>
    <w:p w14:paraId="3759444D" w14:textId="77777777" w:rsidR="00530163" w:rsidRPr="00530163" w:rsidRDefault="00530163" w:rsidP="009A6274">
      <w:pPr>
        <w:numPr>
          <w:ilvl w:val="0"/>
          <w:numId w:val="30"/>
        </w:numPr>
        <w:tabs>
          <w:tab w:val="clear" w:pos="680"/>
          <w:tab w:val="num" w:pos="720"/>
        </w:tabs>
        <w:spacing w:after="0" w:line="240" w:lineRule="auto"/>
        <w:ind w:left="714" w:hanging="357"/>
        <w:jc w:val="both"/>
        <w:rPr>
          <w:rFonts w:ascii="Times New Roman" w:hAnsi="Times New Roman" w:cs="Times New Roman"/>
        </w:rPr>
      </w:pPr>
      <w:r w:rsidRPr="00530163">
        <w:rPr>
          <w:rFonts w:ascii="Times New Roman" w:hAnsi="Times New Roman" w:cs="Times New Roman"/>
        </w:rPr>
        <w:t>poręczenie wekslowe;</w:t>
      </w:r>
    </w:p>
    <w:p w14:paraId="769E01EE" w14:textId="77777777" w:rsidR="00530163" w:rsidRPr="00530163" w:rsidRDefault="00530163" w:rsidP="009A6274">
      <w:pPr>
        <w:numPr>
          <w:ilvl w:val="0"/>
          <w:numId w:val="30"/>
        </w:numPr>
        <w:tabs>
          <w:tab w:val="clear" w:pos="680"/>
          <w:tab w:val="num" w:pos="720"/>
        </w:tabs>
        <w:spacing w:after="0" w:line="240" w:lineRule="auto"/>
        <w:ind w:left="714" w:hanging="357"/>
        <w:jc w:val="both"/>
        <w:rPr>
          <w:rFonts w:ascii="Times New Roman" w:hAnsi="Times New Roman" w:cs="Times New Roman"/>
        </w:rPr>
      </w:pPr>
      <w:r w:rsidRPr="00530163">
        <w:rPr>
          <w:rFonts w:ascii="Times New Roman" w:hAnsi="Times New Roman" w:cs="Times New Roman"/>
        </w:rPr>
        <w:t>gwarancja;</w:t>
      </w:r>
    </w:p>
    <w:p w14:paraId="26BCFE00" w14:textId="77777777" w:rsidR="00530163" w:rsidRPr="00530163" w:rsidRDefault="00530163" w:rsidP="009A6274">
      <w:pPr>
        <w:numPr>
          <w:ilvl w:val="0"/>
          <w:numId w:val="30"/>
        </w:numPr>
        <w:tabs>
          <w:tab w:val="clear" w:pos="680"/>
          <w:tab w:val="num" w:pos="720"/>
        </w:tabs>
        <w:spacing w:after="0" w:line="240" w:lineRule="auto"/>
        <w:ind w:left="714" w:hanging="357"/>
        <w:jc w:val="both"/>
        <w:rPr>
          <w:rFonts w:ascii="Times New Roman" w:hAnsi="Times New Roman" w:cs="Times New Roman"/>
        </w:rPr>
      </w:pPr>
      <w:r w:rsidRPr="00530163">
        <w:rPr>
          <w:rFonts w:ascii="Times New Roman" w:hAnsi="Times New Roman" w:cs="Times New Roman"/>
        </w:rPr>
        <w:t>przelew wierzytelności na zabezpieczenie;</w:t>
      </w:r>
    </w:p>
    <w:p w14:paraId="3B690743"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cesja praw z umów ubezpieczenia;</w:t>
      </w:r>
    </w:p>
    <w:p w14:paraId="47487732"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przewłaszczenie na zabezpieczenie rzeczy oznaczonych co do gatunku/ przeniesienie własności;</w:t>
      </w:r>
    </w:p>
    <w:p w14:paraId="42119B8C"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lastRenderedPageBreak/>
        <w:t>przewłaszczenie na zabezpieczenie rzeczy oznaczonych co do tożsamości/ przeniesienie własności;</w:t>
      </w:r>
    </w:p>
    <w:p w14:paraId="3889104B"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zastaw rejestrowy;</w:t>
      </w:r>
    </w:p>
    <w:p w14:paraId="7D42DD31"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zastaw zwykły;</w:t>
      </w:r>
    </w:p>
    <w:p w14:paraId="092C99BD"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zastaw finansowy;</w:t>
      </w:r>
    </w:p>
    <w:p w14:paraId="0F12A1BC"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hipoteka;</w:t>
      </w:r>
    </w:p>
    <w:p w14:paraId="58D35401"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hipoteka przymusowa;</w:t>
      </w:r>
    </w:p>
    <w:p w14:paraId="3E4A98BC"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oświadczenie o poddaniu się egzekucji w trybie art. 777 Kodeksu postępowania cywilnego złożone w formie aktu notarialnego;</w:t>
      </w:r>
    </w:p>
    <w:p w14:paraId="4ED22D20"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przystąpienie do długu;</w:t>
      </w:r>
    </w:p>
    <w:p w14:paraId="701A13BE"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przejęcie długu;</w:t>
      </w:r>
    </w:p>
    <w:p w14:paraId="3374482D" w14:textId="77777777" w:rsidR="00530163" w:rsidRPr="00530163" w:rsidRDefault="00530163" w:rsidP="009A6274">
      <w:pPr>
        <w:numPr>
          <w:ilvl w:val="1"/>
          <w:numId w:val="30"/>
        </w:numPr>
        <w:spacing w:after="0" w:line="240" w:lineRule="auto"/>
        <w:ind w:left="714" w:hanging="357"/>
        <w:jc w:val="both"/>
        <w:rPr>
          <w:rFonts w:ascii="Times New Roman" w:hAnsi="Times New Roman" w:cs="Times New Roman"/>
        </w:rPr>
      </w:pPr>
      <w:r w:rsidRPr="00530163">
        <w:rPr>
          <w:rFonts w:ascii="Times New Roman" w:hAnsi="Times New Roman" w:cs="Times New Roman"/>
        </w:rPr>
        <w:t>ubezpieczenie kredytu.</w:t>
      </w:r>
    </w:p>
    <w:p w14:paraId="0F01AC69" w14:textId="77777777" w:rsidR="00530163" w:rsidRPr="00AD7AF8" w:rsidRDefault="00530163" w:rsidP="007902AA">
      <w:pPr>
        <w:pStyle w:val="Akapitzlist"/>
        <w:spacing w:line="240" w:lineRule="auto"/>
        <w:ind w:left="0"/>
        <w:jc w:val="both"/>
        <w:rPr>
          <w:rFonts w:ascii="Times New Roman" w:hAnsi="Times New Roman" w:cs="Times New Roman"/>
        </w:rPr>
      </w:pPr>
    </w:p>
    <w:p w14:paraId="4E3FE540" w14:textId="77777777" w:rsidR="00F20957" w:rsidRDefault="00841BF6" w:rsidP="009A6274">
      <w:pPr>
        <w:pStyle w:val="Akapitzlist"/>
        <w:numPr>
          <w:ilvl w:val="0"/>
          <w:numId w:val="18"/>
        </w:numPr>
        <w:ind w:left="709" w:hanging="425"/>
        <w:jc w:val="both"/>
        <w:rPr>
          <w:rFonts w:ascii="Times New Roman" w:hAnsi="Times New Roman" w:cs="Times New Roman"/>
          <w:b/>
        </w:rPr>
      </w:pPr>
      <w:r w:rsidRPr="00AD7AF8">
        <w:rPr>
          <w:rFonts w:ascii="Times New Roman" w:hAnsi="Times New Roman" w:cs="Times New Roman"/>
          <w:b/>
        </w:rPr>
        <w:t>W</w:t>
      </w:r>
      <w:r w:rsidR="00165349" w:rsidRPr="00AD7AF8">
        <w:rPr>
          <w:rFonts w:ascii="Times New Roman" w:hAnsi="Times New Roman" w:cs="Times New Roman"/>
          <w:b/>
        </w:rPr>
        <w:t xml:space="preserve">artość </w:t>
      </w:r>
      <w:r w:rsidRPr="00AD7AF8">
        <w:rPr>
          <w:rFonts w:ascii="Times New Roman" w:hAnsi="Times New Roman" w:cs="Times New Roman"/>
          <w:b/>
        </w:rPr>
        <w:t>ekspozycji przed i po zastosowaniu technik redukcji ryzyka kredytowego dla każdego stopnia wiarygodności</w:t>
      </w:r>
    </w:p>
    <w:p w14:paraId="044AAF6E" w14:textId="77777777" w:rsidR="007902AA" w:rsidRPr="00AD7AF8" w:rsidRDefault="007902AA" w:rsidP="007902AA">
      <w:pPr>
        <w:pStyle w:val="Akapitzlist"/>
        <w:ind w:left="709"/>
        <w:jc w:val="both"/>
        <w:rPr>
          <w:rFonts w:ascii="Times New Roman" w:hAnsi="Times New Roman" w:cs="Times New Roman"/>
          <w:b/>
        </w:rPr>
      </w:pPr>
    </w:p>
    <w:tbl>
      <w:tblPr>
        <w:tblStyle w:val="Tabela-Siatka"/>
        <w:tblW w:w="10488" w:type="dxa"/>
        <w:tblInd w:w="-601" w:type="dxa"/>
        <w:tblLayout w:type="fixed"/>
        <w:tblLook w:val="04A0" w:firstRow="1" w:lastRow="0" w:firstColumn="1" w:lastColumn="0" w:noHBand="0" w:noVBand="1"/>
      </w:tblPr>
      <w:tblGrid>
        <w:gridCol w:w="567"/>
        <w:gridCol w:w="1701"/>
        <w:gridCol w:w="993"/>
        <w:gridCol w:w="992"/>
        <w:gridCol w:w="992"/>
        <w:gridCol w:w="992"/>
        <w:gridCol w:w="851"/>
        <w:gridCol w:w="992"/>
        <w:gridCol w:w="851"/>
        <w:gridCol w:w="850"/>
        <w:gridCol w:w="707"/>
      </w:tblGrid>
      <w:tr w:rsidR="009A7727" w:rsidRPr="0032532E" w14:paraId="5D376C78" w14:textId="77777777" w:rsidTr="007902AA">
        <w:tc>
          <w:tcPr>
            <w:tcW w:w="10488" w:type="dxa"/>
            <w:gridSpan w:val="11"/>
          </w:tcPr>
          <w:p w14:paraId="4038C702" w14:textId="77777777" w:rsidR="009A7727" w:rsidRPr="0032532E" w:rsidRDefault="009A7727" w:rsidP="00AE4292">
            <w:pPr>
              <w:pStyle w:val="Akapitzlist"/>
              <w:ind w:left="0"/>
              <w:jc w:val="center"/>
              <w:rPr>
                <w:rFonts w:ascii="Times New Roman" w:hAnsi="Times New Roman" w:cs="Times New Roman"/>
                <w:b/>
                <w:i/>
                <w:sz w:val="16"/>
                <w:szCs w:val="18"/>
              </w:rPr>
            </w:pPr>
            <w:r w:rsidRPr="0032532E">
              <w:rPr>
                <w:rFonts w:ascii="Times New Roman" w:hAnsi="Times New Roman" w:cs="Times New Roman"/>
                <w:b/>
                <w:i/>
                <w:sz w:val="16"/>
                <w:szCs w:val="18"/>
              </w:rPr>
              <w:t>Ekspozycje kredytowe (w tys. zł)</w:t>
            </w:r>
          </w:p>
        </w:tc>
      </w:tr>
      <w:tr w:rsidR="009A7727" w:rsidRPr="0032532E" w14:paraId="6AC3CE90" w14:textId="77777777" w:rsidTr="0032532E">
        <w:tc>
          <w:tcPr>
            <w:tcW w:w="567" w:type="dxa"/>
            <w:vAlign w:val="center"/>
          </w:tcPr>
          <w:p w14:paraId="32492225" w14:textId="77777777" w:rsidR="009A7727" w:rsidRPr="0032532E" w:rsidRDefault="009A7727" w:rsidP="00AE4292">
            <w:pPr>
              <w:pStyle w:val="Akapitzlist"/>
              <w:ind w:left="0"/>
              <w:jc w:val="center"/>
              <w:rPr>
                <w:rFonts w:ascii="Times New Roman" w:hAnsi="Times New Roman" w:cs="Times New Roman"/>
                <w:b/>
                <w:sz w:val="16"/>
                <w:szCs w:val="18"/>
              </w:rPr>
            </w:pPr>
          </w:p>
        </w:tc>
        <w:tc>
          <w:tcPr>
            <w:tcW w:w="1701" w:type="dxa"/>
            <w:vAlign w:val="center"/>
          </w:tcPr>
          <w:p w14:paraId="3AAFA428" w14:textId="77777777" w:rsidR="009A7727" w:rsidRPr="0032532E" w:rsidRDefault="009A7727" w:rsidP="00AE4292">
            <w:pPr>
              <w:pStyle w:val="Akapitzlist"/>
              <w:ind w:left="0"/>
              <w:jc w:val="center"/>
              <w:rPr>
                <w:rFonts w:ascii="Times New Roman" w:hAnsi="Times New Roman" w:cs="Times New Roman"/>
                <w:b/>
                <w:sz w:val="16"/>
                <w:szCs w:val="18"/>
              </w:rPr>
            </w:pPr>
          </w:p>
        </w:tc>
        <w:tc>
          <w:tcPr>
            <w:tcW w:w="4820" w:type="dxa"/>
            <w:gridSpan w:val="5"/>
            <w:vAlign w:val="center"/>
          </w:tcPr>
          <w:p w14:paraId="7F396DA4" w14:textId="77777777" w:rsidR="009A7727" w:rsidRPr="0032532E" w:rsidRDefault="009A7727"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Ekspozycje kredytowe podział na klasy</w:t>
            </w:r>
          </w:p>
        </w:tc>
        <w:tc>
          <w:tcPr>
            <w:tcW w:w="992" w:type="dxa"/>
            <w:vMerge w:val="restart"/>
            <w:vAlign w:val="center"/>
          </w:tcPr>
          <w:p w14:paraId="593027FC" w14:textId="77777777" w:rsidR="009A7727" w:rsidRPr="0032532E" w:rsidRDefault="009A7727" w:rsidP="009A7727">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 xml:space="preserve">RAZEM </w:t>
            </w:r>
          </w:p>
        </w:tc>
        <w:tc>
          <w:tcPr>
            <w:tcW w:w="851" w:type="dxa"/>
            <w:vMerge w:val="restart"/>
            <w:vAlign w:val="center"/>
          </w:tcPr>
          <w:p w14:paraId="277ACEAF" w14:textId="77777777" w:rsidR="009A7727" w:rsidRPr="0032532E" w:rsidRDefault="009A7727" w:rsidP="009A7727">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Odsetki</w:t>
            </w:r>
          </w:p>
        </w:tc>
        <w:tc>
          <w:tcPr>
            <w:tcW w:w="850" w:type="dxa"/>
            <w:vMerge w:val="restart"/>
            <w:vAlign w:val="center"/>
          </w:tcPr>
          <w:p w14:paraId="2D57C4C6" w14:textId="77777777" w:rsidR="009A7727" w:rsidRPr="0032532E" w:rsidRDefault="009A7727" w:rsidP="009A7727">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Rezerwa</w:t>
            </w:r>
          </w:p>
        </w:tc>
        <w:tc>
          <w:tcPr>
            <w:tcW w:w="707" w:type="dxa"/>
            <w:vMerge w:val="restart"/>
            <w:vAlign w:val="center"/>
          </w:tcPr>
          <w:p w14:paraId="1B24B86C" w14:textId="77777777" w:rsidR="009A7727" w:rsidRPr="0032532E" w:rsidRDefault="009A7727" w:rsidP="009A7727">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ESP</w:t>
            </w:r>
          </w:p>
        </w:tc>
      </w:tr>
      <w:tr w:rsidR="009A7727" w:rsidRPr="0032532E" w14:paraId="47291294" w14:textId="77777777" w:rsidTr="0032532E">
        <w:trPr>
          <w:trHeight w:val="410"/>
        </w:trPr>
        <w:tc>
          <w:tcPr>
            <w:tcW w:w="567" w:type="dxa"/>
            <w:vAlign w:val="center"/>
          </w:tcPr>
          <w:p w14:paraId="74D86784" w14:textId="77777777" w:rsidR="009A7727" w:rsidRPr="0032532E" w:rsidRDefault="009A7727"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Lp.</w:t>
            </w:r>
          </w:p>
        </w:tc>
        <w:tc>
          <w:tcPr>
            <w:tcW w:w="1701" w:type="dxa"/>
            <w:vAlign w:val="center"/>
          </w:tcPr>
          <w:p w14:paraId="2D0820CD" w14:textId="77777777" w:rsidR="009A7727" w:rsidRPr="0032532E" w:rsidRDefault="009A7727"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Typ kontrahenta</w:t>
            </w:r>
          </w:p>
        </w:tc>
        <w:tc>
          <w:tcPr>
            <w:tcW w:w="993" w:type="dxa"/>
            <w:vAlign w:val="center"/>
          </w:tcPr>
          <w:p w14:paraId="2BDF170A" w14:textId="77777777" w:rsidR="009A7727" w:rsidRPr="0032532E" w:rsidRDefault="009A7727"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 xml:space="preserve">Normalny </w:t>
            </w:r>
          </w:p>
        </w:tc>
        <w:tc>
          <w:tcPr>
            <w:tcW w:w="992" w:type="dxa"/>
            <w:vAlign w:val="center"/>
          </w:tcPr>
          <w:p w14:paraId="2883A7D0" w14:textId="77777777" w:rsidR="009A7727" w:rsidRPr="0032532E" w:rsidRDefault="009A7727"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Pod obserwacją</w:t>
            </w:r>
          </w:p>
        </w:tc>
        <w:tc>
          <w:tcPr>
            <w:tcW w:w="992" w:type="dxa"/>
            <w:vAlign w:val="center"/>
          </w:tcPr>
          <w:p w14:paraId="5DC98D7C" w14:textId="77777777" w:rsidR="009A7727" w:rsidRPr="0032532E" w:rsidRDefault="009A7727"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Poniżej standardu</w:t>
            </w:r>
          </w:p>
        </w:tc>
        <w:tc>
          <w:tcPr>
            <w:tcW w:w="992" w:type="dxa"/>
            <w:vAlign w:val="center"/>
          </w:tcPr>
          <w:p w14:paraId="1845AD5C" w14:textId="77777777" w:rsidR="009A7727" w:rsidRPr="0032532E" w:rsidRDefault="009A7727"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 xml:space="preserve">Wątpliwe </w:t>
            </w:r>
          </w:p>
        </w:tc>
        <w:tc>
          <w:tcPr>
            <w:tcW w:w="851" w:type="dxa"/>
            <w:vAlign w:val="center"/>
          </w:tcPr>
          <w:p w14:paraId="441857B2" w14:textId="77777777" w:rsidR="009A7727" w:rsidRPr="0032532E" w:rsidRDefault="009A7727"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 xml:space="preserve">Stracone </w:t>
            </w:r>
          </w:p>
        </w:tc>
        <w:tc>
          <w:tcPr>
            <w:tcW w:w="992" w:type="dxa"/>
            <w:vMerge/>
            <w:vAlign w:val="center"/>
          </w:tcPr>
          <w:p w14:paraId="74E9271F" w14:textId="77777777" w:rsidR="009A7727" w:rsidRPr="0032532E" w:rsidRDefault="009A7727" w:rsidP="009A7727">
            <w:pPr>
              <w:pStyle w:val="Akapitzlist"/>
              <w:ind w:left="0"/>
              <w:jc w:val="center"/>
              <w:rPr>
                <w:rFonts w:ascii="Times New Roman" w:hAnsi="Times New Roman" w:cs="Times New Roman"/>
                <w:b/>
                <w:sz w:val="16"/>
                <w:szCs w:val="18"/>
              </w:rPr>
            </w:pPr>
          </w:p>
        </w:tc>
        <w:tc>
          <w:tcPr>
            <w:tcW w:w="851" w:type="dxa"/>
            <w:vMerge/>
          </w:tcPr>
          <w:p w14:paraId="2F8EB9D6" w14:textId="77777777" w:rsidR="009A7727" w:rsidRPr="0032532E" w:rsidRDefault="009A7727" w:rsidP="009A7727">
            <w:pPr>
              <w:pStyle w:val="Akapitzlist"/>
              <w:ind w:left="0"/>
              <w:jc w:val="center"/>
              <w:rPr>
                <w:rFonts w:ascii="Times New Roman" w:hAnsi="Times New Roman" w:cs="Times New Roman"/>
                <w:b/>
                <w:sz w:val="16"/>
                <w:szCs w:val="18"/>
              </w:rPr>
            </w:pPr>
          </w:p>
        </w:tc>
        <w:tc>
          <w:tcPr>
            <w:tcW w:w="850" w:type="dxa"/>
            <w:vMerge/>
          </w:tcPr>
          <w:p w14:paraId="117C1E09" w14:textId="77777777" w:rsidR="009A7727" w:rsidRPr="0032532E" w:rsidRDefault="009A7727" w:rsidP="009A7727">
            <w:pPr>
              <w:pStyle w:val="Akapitzlist"/>
              <w:ind w:left="0"/>
              <w:jc w:val="center"/>
              <w:rPr>
                <w:rFonts w:ascii="Times New Roman" w:hAnsi="Times New Roman" w:cs="Times New Roman"/>
                <w:b/>
                <w:sz w:val="16"/>
                <w:szCs w:val="18"/>
              </w:rPr>
            </w:pPr>
          </w:p>
        </w:tc>
        <w:tc>
          <w:tcPr>
            <w:tcW w:w="707" w:type="dxa"/>
            <w:vMerge/>
          </w:tcPr>
          <w:p w14:paraId="61990A32" w14:textId="77777777" w:rsidR="009A7727" w:rsidRPr="0032532E" w:rsidRDefault="009A7727" w:rsidP="009A7727">
            <w:pPr>
              <w:pStyle w:val="Akapitzlist"/>
              <w:ind w:left="0"/>
              <w:jc w:val="center"/>
              <w:rPr>
                <w:rFonts w:ascii="Times New Roman" w:hAnsi="Times New Roman" w:cs="Times New Roman"/>
                <w:b/>
                <w:sz w:val="16"/>
                <w:szCs w:val="18"/>
              </w:rPr>
            </w:pPr>
          </w:p>
        </w:tc>
      </w:tr>
      <w:tr w:rsidR="00812974" w:rsidRPr="0032532E" w14:paraId="04384E62" w14:textId="77777777" w:rsidTr="0032532E">
        <w:tc>
          <w:tcPr>
            <w:tcW w:w="567" w:type="dxa"/>
            <w:vAlign w:val="center"/>
          </w:tcPr>
          <w:p w14:paraId="0DBA9F9F" w14:textId="77777777" w:rsidR="00812974" w:rsidRPr="0032532E" w:rsidRDefault="00812974"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1.</w:t>
            </w:r>
          </w:p>
        </w:tc>
        <w:tc>
          <w:tcPr>
            <w:tcW w:w="1701" w:type="dxa"/>
          </w:tcPr>
          <w:p w14:paraId="4B8A40CC" w14:textId="77777777" w:rsidR="00812974" w:rsidRPr="002906D1" w:rsidRDefault="00812974" w:rsidP="009A7727">
            <w:pPr>
              <w:pStyle w:val="Akapitzlist"/>
              <w:ind w:left="0"/>
              <w:rPr>
                <w:rFonts w:ascii="Times New Roman" w:hAnsi="Times New Roman" w:cs="Times New Roman"/>
                <w:sz w:val="18"/>
                <w:szCs w:val="18"/>
              </w:rPr>
            </w:pPr>
            <w:r w:rsidRPr="002906D1">
              <w:rPr>
                <w:rFonts w:ascii="Times New Roman" w:hAnsi="Times New Roman" w:cs="Times New Roman"/>
                <w:sz w:val="18"/>
                <w:szCs w:val="18"/>
              </w:rPr>
              <w:t>Przedsiębiorstwa i spółki oraz spółdz.</w:t>
            </w:r>
          </w:p>
        </w:tc>
        <w:tc>
          <w:tcPr>
            <w:tcW w:w="993" w:type="dxa"/>
            <w:vAlign w:val="center"/>
          </w:tcPr>
          <w:p w14:paraId="11E4A821" w14:textId="319F8E7A" w:rsidR="00812974" w:rsidRPr="002906D1" w:rsidRDefault="001B3C5F"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3 886</w:t>
            </w:r>
          </w:p>
        </w:tc>
        <w:tc>
          <w:tcPr>
            <w:tcW w:w="992" w:type="dxa"/>
            <w:vAlign w:val="center"/>
          </w:tcPr>
          <w:p w14:paraId="0C12C18C" w14:textId="77777777" w:rsidR="00812974" w:rsidRPr="002906D1" w:rsidRDefault="0032532E"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vAlign w:val="center"/>
          </w:tcPr>
          <w:p w14:paraId="4697DD3E" w14:textId="45FE4BEC" w:rsidR="00812974" w:rsidRPr="002906D1" w:rsidRDefault="001B3C5F"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81</w:t>
            </w:r>
          </w:p>
        </w:tc>
        <w:tc>
          <w:tcPr>
            <w:tcW w:w="992" w:type="dxa"/>
            <w:vAlign w:val="center"/>
          </w:tcPr>
          <w:p w14:paraId="4B0F7501"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851" w:type="dxa"/>
            <w:vAlign w:val="center"/>
          </w:tcPr>
          <w:p w14:paraId="2B088D44"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shd w:val="clear" w:color="auto" w:fill="D9D9D9" w:themeFill="background1" w:themeFillShade="D9"/>
            <w:vAlign w:val="center"/>
          </w:tcPr>
          <w:p w14:paraId="022044BF" w14:textId="066A3B34" w:rsidR="00812974" w:rsidRPr="002906D1" w:rsidRDefault="001B3C5F" w:rsidP="008E2B16">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3 948</w:t>
            </w:r>
          </w:p>
        </w:tc>
        <w:tc>
          <w:tcPr>
            <w:tcW w:w="851" w:type="dxa"/>
            <w:shd w:val="clear" w:color="auto" w:fill="D9D9D9" w:themeFill="background1" w:themeFillShade="D9"/>
          </w:tcPr>
          <w:p w14:paraId="2AF9FB1A" w14:textId="59D3BA50" w:rsidR="00812974" w:rsidRPr="002906D1" w:rsidRDefault="006833A3"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5</w:t>
            </w:r>
          </w:p>
        </w:tc>
        <w:tc>
          <w:tcPr>
            <w:tcW w:w="850" w:type="dxa"/>
            <w:shd w:val="clear" w:color="auto" w:fill="D9D9D9" w:themeFill="background1" w:themeFillShade="D9"/>
          </w:tcPr>
          <w:p w14:paraId="5322D243" w14:textId="4CFDBE5F" w:rsidR="00812974" w:rsidRPr="002906D1" w:rsidRDefault="001B3C5F"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42</w:t>
            </w:r>
          </w:p>
        </w:tc>
        <w:tc>
          <w:tcPr>
            <w:tcW w:w="707" w:type="dxa"/>
            <w:shd w:val="clear" w:color="auto" w:fill="D9D9D9" w:themeFill="background1" w:themeFillShade="D9"/>
          </w:tcPr>
          <w:p w14:paraId="79E93F8F" w14:textId="71548909" w:rsidR="00812974" w:rsidRPr="002906D1" w:rsidRDefault="00033AF7"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18</w:t>
            </w:r>
          </w:p>
        </w:tc>
      </w:tr>
      <w:tr w:rsidR="00812974" w:rsidRPr="0032532E" w14:paraId="4997D79D" w14:textId="77777777" w:rsidTr="0032532E">
        <w:tc>
          <w:tcPr>
            <w:tcW w:w="567" w:type="dxa"/>
            <w:vAlign w:val="center"/>
          </w:tcPr>
          <w:p w14:paraId="7F23BBC5" w14:textId="77777777" w:rsidR="00812974" w:rsidRPr="0032532E" w:rsidRDefault="00812974"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2.</w:t>
            </w:r>
          </w:p>
        </w:tc>
        <w:tc>
          <w:tcPr>
            <w:tcW w:w="1701" w:type="dxa"/>
          </w:tcPr>
          <w:p w14:paraId="18E78149" w14:textId="77777777" w:rsidR="00812974" w:rsidRPr="002906D1" w:rsidRDefault="00812974" w:rsidP="00AE4292">
            <w:pPr>
              <w:pStyle w:val="Akapitzlist"/>
              <w:ind w:left="0"/>
              <w:jc w:val="both"/>
              <w:rPr>
                <w:rFonts w:ascii="Times New Roman" w:hAnsi="Times New Roman" w:cs="Times New Roman"/>
                <w:sz w:val="18"/>
                <w:szCs w:val="18"/>
              </w:rPr>
            </w:pPr>
            <w:r w:rsidRPr="002906D1">
              <w:rPr>
                <w:rFonts w:ascii="Times New Roman" w:hAnsi="Times New Roman" w:cs="Times New Roman"/>
                <w:sz w:val="18"/>
                <w:szCs w:val="18"/>
              </w:rPr>
              <w:t>Rolnicy indywidualni</w:t>
            </w:r>
          </w:p>
        </w:tc>
        <w:tc>
          <w:tcPr>
            <w:tcW w:w="993" w:type="dxa"/>
            <w:vAlign w:val="center"/>
          </w:tcPr>
          <w:p w14:paraId="045785CB" w14:textId="3CEBD079" w:rsidR="00812974" w:rsidRPr="002906D1" w:rsidRDefault="00E47068"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171</w:t>
            </w:r>
          </w:p>
        </w:tc>
        <w:tc>
          <w:tcPr>
            <w:tcW w:w="992" w:type="dxa"/>
            <w:vAlign w:val="center"/>
          </w:tcPr>
          <w:p w14:paraId="2CB48009" w14:textId="2BFA8791" w:rsidR="00812974" w:rsidRPr="002906D1" w:rsidRDefault="00E47068"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15</w:t>
            </w:r>
          </w:p>
        </w:tc>
        <w:tc>
          <w:tcPr>
            <w:tcW w:w="992" w:type="dxa"/>
            <w:vAlign w:val="center"/>
          </w:tcPr>
          <w:p w14:paraId="23A09118"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vAlign w:val="center"/>
          </w:tcPr>
          <w:p w14:paraId="61EB058E"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851" w:type="dxa"/>
            <w:vAlign w:val="center"/>
          </w:tcPr>
          <w:p w14:paraId="10410F80"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shd w:val="clear" w:color="auto" w:fill="D9D9D9" w:themeFill="background1" w:themeFillShade="D9"/>
            <w:vAlign w:val="center"/>
          </w:tcPr>
          <w:p w14:paraId="2AFC5F18" w14:textId="4ED0BF15" w:rsidR="00812974" w:rsidRPr="002906D1" w:rsidRDefault="00E47068" w:rsidP="008E2B16">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186</w:t>
            </w:r>
          </w:p>
        </w:tc>
        <w:tc>
          <w:tcPr>
            <w:tcW w:w="851" w:type="dxa"/>
            <w:shd w:val="clear" w:color="auto" w:fill="D9D9D9" w:themeFill="background1" w:themeFillShade="D9"/>
          </w:tcPr>
          <w:p w14:paraId="2ED8DB09" w14:textId="185716D1" w:rsidR="00812974" w:rsidRPr="002906D1" w:rsidRDefault="00033AF7" w:rsidP="00546741">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0</w:t>
            </w:r>
          </w:p>
        </w:tc>
        <w:tc>
          <w:tcPr>
            <w:tcW w:w="850" w:type="dxa"/>
            <w:shd w:val="clear" w:color="auto" w:fill="D9D9D9" w:themeFill="background1" w:themeFillShade="D9"/>
          </w:tcPr>
          <w:p w14:paraId="5057AE67" w14:textId="4FDC8553" w:rsidR="00812974" w:rsidRPr="002906D1" w:rsidRDefault="00E47068"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0</w:t>
            </w:r>
          </w:p>
        </w:tc>
        <w:tc>
          <w:tcPr>
            <w:tcW w:w="707" w:type="dxa"/>
            <w:shd w:val="clear" w:color="auto" w:fill="D9D9D9" w:themeFill="background1" w:themeFillShade="D9"/>
          </w:tcPr>
          <w:p w14:paraId="4ECA7FDB" w14:textId="2974F7B6" w:rsidR="00812974" w:rsidRPr="002906D1" w:rsidRDefault="00033AF7"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w:t>
            </w:r>
          </w:p>
        </w:tc>
      </w:tr>
      <w:tr w:rsidR="00812974" w:rsidRPr="0032532E" w14:paraId="05D2D1BF" w14:textId="77777777" w:rsidTr="0032532E">
        <w:tc>
          <w:tcPr>
            <w:tcW w:w="567" w:type="dxa"/>
            <w:vAlign w:val="center"/>
          </w:tcPr>
          <w:p w14:paraId="613780D1" w14:textId="77777777" w:rsidR="00812974" w:rsidRPr="0032532E" w:rsidRDefault="00812974"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3.</w:t>
            </w:r>
          </w:p>
        </w:tc>
        <w:tc>
          <w:tcPr>
            <w:tcW w:w="1701" w:type="dxa"/>
          </w:tcPr>
          <w:p w14:paraId="2955C983" w14:textId="77777777" w:rsidR="00812974" w:rsidRPr="002906D1" w:rsidRDefault="00812974" w:rsidP="00AE4292">
            <w:pPr>
              <w:pStyle w:val="Akapitzlist"/>
              <w:ind w:left="0"/>
              <w:jc w:val="both"/>
              <w:rPr>
                <w:rFonts w:ascii="Times New Roman" w:hAnsi="Times New Roman" w:cs="Times New Roman"/>
                <w:sz w:val="18"/>
                <w:szCs w:val="18"/>
              </w:rPr>
            </w:pPr>
            <w:r w:rsidRPr="002906D1">
              <w:rPr>
                <w:rFonts w:ascii="Times New Roman" w:hAnsi="Times New Roman" w:cs="Times New Roman"/>
                <w:sz w:val="18"/>
                <w:szCs w:val="18"/>
              </w:rPr>
              <w:t>Przedsiębiorcy indywidualni</w:t>
            </w:r>
          </w:p>
        </w:tc>
        <w:tc>
          <w:tcPr>
            <w:tcW w:w="993" w:type="dxa"/>
            <w:vAlign w:val="center"/>
          </w:tcPr>
          <w:p w14:paraId="5B207C88" w14:textId="73B89AFC" w:rsidR="00812974" w:rsidRPr="002906D1" w:rsidRDefault="00E47068"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9 223</w:t>
            </w:r>
          </w:p>
        </w:tc>
        <w:tc>
          <w:tcPr>
            <w:tcW w:w="992" w:type="dxa"/>
            <w:vAlign w:val="center"/>
          </w:tcPr>
          <w:p w14:paraId="0856545D" w14:textId="0CE829D9" w:rsidR="00812974" w:rsidRPr="002906D1" w:rsidRDefault="00E47068" w:rsidP="00546741">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1 393</w:t>
            </w:r>
          </w:p>
        </w:tc>
        <w:tc>
          <w:tcPr>
            <w:tcW w:w="992" w:type="dxa"/>
            <w:vAlign w:val="center"/>
          </w:tcPr>
          <w:p w14:paraId="72EF16EC" w14:textId="51FE3EE0" w:rsidR="00812974" w:rsidRPr="002906D1" w:rsidRDefault="00E47068"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120</w:t>
            </w:r>
          </w:p>
        </w:tc>
        <w:tc>
          <w:tcPr>
            <w:tcW w:w="992" w:type="dxa"/>
            <w:vAlign w:val="center"/>
          </w:tcPr>
          <w:p w14:paraId="594F6334" w14:textId="77777777" w:rsidR="00812974" w:rsidRPr="002906D1" w:rsidRDefault="0032532E"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851" w:type="dxa"/>
            <w:vAlign w:val="center"/>
          </w:tcPr>
          <w:p w14:paraId="559DAB50" w14:textId="38D35324" w:rsidR="00812974" w:rsidRPr="002906D1" w:rsidRDefault="00E47068" w:rsidP="00B16EAA">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350</w:t>
            </w:r>
          </w:p>
        </w:tc>
        <w:tc>
          <w:tcPr>
            <w:tcW w:w="992" w:type="dxa"/>
            <w:shd w:val="clear" w:color="auto" w:fill="D9D9D9" w:themeFill="background1" w:themeFillShade="D9"/>
            <w:vAlign w:val="center"/>
          </w:tcPr>
          <w:p w14:paraId="1CC20BB5" w14:textId="06E18DE5" w:rsidR="00812974" w:rsidRPr="002906D1" w:rsidRDefault="00E47068" w:rsidP="008E2B16">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11 086</w:t>
            </w:r>
          </w:p>
        </w:tc>
        <w:tc>
          <w:tcPr>
            <w:tcW w:w="851" w:type="dxa"/>
            <w:shd w:val="clear" w:color="auto" w:fill="D9D9D9" w:themeFill="background1" w:themeFillShade="D9"/>
          </w:tcPr>
          <w:p w14:paraId="5B47EAF4" w14:textId="169DC477" w:rsidR="00812974" w:rsidRPr="002906D1" w:rsidRDefault="001D0238"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15</w:t>
            </w:r>
          </w:p>
        </w:tc>
        <w:tc>
          <w:tcPr>
            <w:tcW w:w="850" w:type="dxa"/>
            <w:shd w:val="clear" w:color="auto" w:fill="D9D9D9" w:themeFill="background1" w:themeFillShade="D9"/>
          </w:tcPr>
          <w:p w14:paraId="710D886D" w14:textId="1431C43D" w:rsidR="00812974" w:rsidRPr="002906D1" w:rsidRDefault="00E47068" w:rsidP="00546741">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343</w:t>
            </w:r>
          </w:p>
        </w:tc>
        <w:tc>
          <w:tcPr>
            <w:tcW w:w="707" w:type="dxa"/>
            <w:shd w:val="clear" w:color="auto" w:fill="D9D9D9" w:themeFill="background1" w:themeFillShade="D9"/>
          </w:tcPr>
          <w:p w14:paraId="2F37AC1E" w14:textId="2723C41A" w:rsidR="00812974" w:rsidRPr="002906D1" w:rsidRDefault="001D0238" w:rsidP="006C3673">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44</w:t>
            </w:r>
          </w:p>
        </w:tc>
      </w:tr>
      <w:tr w:rsidR="00812974" w:rsidRPr="0032532E" w14:paraId="705A928F" w14:textId="77777777" w:rsidTr="0032532E">
        <w:tc>
          <w:tcPr>
            <w:tcW w:w="567" w:type="dxa"/>
            <w:vAlign w:val="center"/>
          </w:tcPr>
          <w:p w14:paraId="03C52D82" w14:textId="77777777" w:rsidR="00812974" w:rsidRPr="0032532E" w:rsidRDefault="00812974"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4.</w:t>
            </w:r>
          </w:p>
        </w:tc>
        <w:tc>
          <w:tcPr>
            <w:tcW w:w="1701" w:type="dxa"/>
          </w:tcPr>
          <w:p w14:paraId="3E6F92A4" w14:textId="77777777" w:rsidR="00812974" w:rsidRPr="002906D1" w:rsidRDefault="00812974" w:rsidP="00AE4292">
            <w:pPr>
              <w:pStyle w:val="Akapitzlist"/>
              <w:ind w:left="0"/>
              <w:jc w:val="both"/>
              <w:rPr>
                <w:rFonts w:ascii="Times New Roman" w:hAnsi="Times New Roman" w:cs="Times New Roman"/>
                <w:sz w:val="18"/>
                <w:szCs w:val="18"/>
              </w:rPr>
            </w:pPr>
            <w:r w:rsidRPr="002906D1">
              <w:rPr>
                <w:rFonts w:ascii="Times New Roman" w:hAnsi="Times New Roman" w:cs="Times New Roman"/>
                <w:sz w:val="18"/>
                <w:szCs w:val="18"/>
              </w:rPr>
              <w:t>Osoby prywatne</w:t>
            </w:r>
          </w:p>
        </w:tc>
        <w:tc>
          <w:tcPr>
            <w:tcW w:w="993" w:type="dxa"/>
            <w:vAlign w:val="center"/>
          </w:tcPr>
          <w:p w14:paraId="5959832E" w14:textId="03CB2924" w:rsidR="00812974" w:rsidRPr="002906D1" w:rsidRDefault="00E47068"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14 307</w:t>
            </w:r>
          </w:p>
        </w:tc>
        <w:tc>
          <w:tcPr>
            <w:tcW w:w="992" w:type="dxa"/>
            <w:vAlign w:val="center"/>
          </w:tcPr>
          <w:p w14:paraId="5A0A613D" w14:textId="30F88C25" w:rsidR="00812974" w:rsidRPr="002906D1" w:rsidRDefault="00E47068" w:rsidP="00546741">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381</w:t>
            </w:r>
          </w:p>
        </w:tc>
        <w:tc>
          <w:tcPr>
            <w:tcW w:w="992" w:type="dxa"/>
            <w:vAlign w:val="center"/>
          </w:tcPr>
          <w:p w14:paraId="5B413FB8" w14:textId="1015B20D" w:rsidR="00812974" w:rsidRPr="002906D1" w:rsidRDefault="00E47068"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332</w:t>
            </w:r>
          </w:p>
        </w:tc>
        <w:tc>
          <w:tcPr>
            <w:tcW w:w="992" w:type="dxa"/>
            <w:vAlign w:val="center"/>
          </w:tcPr>
          <w:p w14:paraId="71365886" w14:textId="6D33084E" w:rsidR="00812974" w:rsidRPr="002906D1" w:rsidRDefault="007E5ED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13</w:t>
            </w:r>
          </w:p>
        </w:tc>
        <w:tc>
          <w:tcPr>
            <w:tcW w:w="851" w:type="dxa"/>
            <w:vAlign w:val="center"/>
          </w:tcPr>
          <w:p w14:paraId="4CEEEEFC" w14:textId="7CBD3420" w:rsidR="00812974" w:rsidRPr="002906D1" w:rsidRDefault="007E5ED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225</w:t>
            </w:r>
          </w:p>
        </w:tc>
        <w:tc>
          <w:tcPr>
            <w:tcW w:w="992" w:type="dxa"/>
            <w:shd w:val="clear" w:color="auto" w:fill="D9D9D9" w:themeFill="background1" w:themeFillShade="D9"/>
            <w:vAlign w:val="center"/>
          </w:tcPr>
          <w:p w14:paraId="05531F61" w14:textId="52362792" w:rsidR="00812974" w:rsidRPr="002906D1" w:rsidRDefault="007E5ED4" w:rsidP="008E2B16">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15 258</w:t>
            </w:r>
          </w:p>
        </w:tc>
        <w:tc>
          <w:tcPr>
            <w:tcW w:w="851" w:type="dxa"/>
            <w:shd w:val="clear" w:color="auto" w:fill="D9D9D9" w:themeFill="background1" w:themeFillShade="D9"/>
          </w:tcPr>
          <w:p w14:paraId="60E779F1" w14:textId="75C5B4A1" w:rsidR="00812974" w:rsidRPr="002906D1" w:rsidRDefault="001D0238" w:rsidP="00FA7551">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9</w:t>
            </w:r>
          </w:p>
        </w:tc>
        <w:tc>
          <w:tcPr>
            <w:tcW w:w="850" w:type="dxa"/>
            <w:shd w:val="clear" w:color="auto" w:fill="D9D9D9" w:themeFill="background1" w:themeFillShade="D9"/>
          </w:tcPr>
          <w:p w14:paraId="2B3E0B1D" w14:textId="417DBA78" w:rsidR="00812974" w:rsidRPr="002906D1" w:rsidRDefault="007E5ED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432</w:t>
            </w:r>
          </w:p>
        </w:tc>
        <w:tc>
          <w:tcPr>
            <w:tcW w:w="707" w:type="dxa"/>
            <w:shd w:val="clear" w:color="auto" w:fill="D9D9D9" w:themeFill="background1" w:themeFillShade="D9"/>
          </w:tcPr>
          <w:p w14:paraId="063D14FB" w14:textId="32B0A100" w:rsidR="00812974" w:rsidRPr="002906D1" w:rsidRDefault="001D0238" w:rsidP="00FA7551">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105</w:t>
            </w:r>
          </w:p>
        </w:tc>
      </w:tr>
      <w:tr w:rsidR="00812974" w:rsidRPr="0032532E" w14:paraId="44E60B20" w14:textId="77777777" w:rsidTr="0032532E">
        <w:tc>
          <w:tcPr>
            <w:tcW w:w="567" w:type="dxa"/>
            <w:vAlign w:val="center"/>
          </w:tcPr>
          <w:p w14:paraId="5DB56CB0" w14:textId="77777777" w:rsidR="00812974" w:rsidRPr="0032532E" w:rsidRDefault="00812974"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5.</w:t>
            </w:r>
          </w:p>
        </w:tc>
        <w:tc>
          <w:tcPr>
            <w:tcW w:w="1701" w:type="dxa"/>
          </w:tcPr>
          <w:p w14:paraId="141775C8" w14:textId="77777777" w:rsidR="00812974" w:rsidRPr="002906D1" w:rsidRDefault="00812974" w:rsidP="00AE4292">
            <w:pPr>
              <w:pStyle w:val="Akapitzlist"/>
              <w:ind w:left="0"/>
              <w:jc w:val="both"/>
              <w:rPr>
                <w:rFonts w:ascii="Times New Roman" w:hAnsi="Times New Roman" w:cs="Times New Roman"/>
                <w:sz w:val="18"/>
                <w:szCs w:val="18"/>
              </w:rPr>
            </w:pPr>
            <w:r w:rsidRPr="002906D1">
              <w:rPr>
                <w:rFonts w:ascii="Times New Roman" w:hAnsi="Times New Roman" w:cs="Times New Roman"/>
                <w:sz w:val="18"/>
                <w:szCs w:val="18"/>
              </w:rPr>
              <w:t xml:space="preserve">Instytucje niekomercyjne </w:t>
            </w:r>
          </w:p>
        </w:tc>
        <w:tc>
          <w:tcPr>
            <w:tcW w:w="993" w:type="dxa"/>
            <w:vAlign w:val="center"/>
          </w:tcPr>
          <w:p w14:paraId="630E24F7"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vAlign w:val="center"/>
          </w:tcPr>
          <w:p w14:paraId="30ACF11F"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vAlign w:val="center"/>
          </w:tcPr>
          <w:p w14:paraId="75AB007C"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vAlign w:val="center"/>
          </w:tcPr>
          <w:p w14:paraId="3C3E872A"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851" w:type="dxa"/>
            <w:vAlign w:val="center"/>
          </w:tcPr>
          <w:p w14:paraId="45D4224F"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shd w:val="clear" w:color="auto" w:fill="D9D9D9" w:themeFill="background1" w:themeFillShade="D9"/>
            <w:vAlign w:val="center"/>
          </w:tcPr>
          <w:p w14:paraId="7635188C" w14:textId="77777777" w:rsidR="00812974" w:rsidRPr="002906D1" w:rsidRDefault="00812974" w:rsidP="008E2B16">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0</w:t>
            </w:r>
          </w:p>
        </w:tc>
        <w:tc>
          <w:tcPr>
            <w:tcW w:w="851" w:type="dxa"/>
            <w:shd w:val="clear" w:color="auto" w:fill="D9D9D9" w:themeFill="background1" w:themeFillShade="D9"/>
          </w:tcPr>
          <w:p w14:paraId="6DFBA99E" w14:textId="77777777" w:rsidR="00812974" w:rsidRPr="002906D1" w:rsidRDefault="0081297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0</w:t>
            </w:r>
          </w:p>
        </w:tc>
        <w:tc>
          <w:tcPr>
            <w:tcW w:w="850" w:type="dxa"/>
            <w:shd w:val="clear" w:color="auto" w:fill="D9D9D9" w:themeFill="background1" w:themeFillShade="D9"/>
          </w:tcPr>
          <w:p w14:paraId="6AA70EDA" w14:textId="77777777" w:rsidR="00812974" w:rsidRPr="002906D1" w:rsidRDefault="0081297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0</w:t>
            </w:r>
          </w:p>
        </w:tc>
        <w:tc>
          <w:tcPr>
            <w:tcW w:w="707" w:type="dxa"/>
            <w:shd w:val="clear" w:color="auto" w:fill="D9D9D9" w:themeFill="background1" w:themeFillShade="D9"/>
          </w:tcPr>
          <w:p w14:paraId="25F1B629" w14:textId="77777777" w:rsidR="00812974" w:rsidRPr="002906D1" w:rsidRDefault="0081297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0</w:t>
            </w:r>
          </w:p>
        </w:tc>
      </w:tr>
      <w:tr w:rsidR="00812974" w:rsidRPr="0032532E" w14:paraId="27B3851C" w14:textId="77777777" w:rsidTr="0032532E">
        <w:tc>
          <w:tcPr>
            <w:tcW w:w="567" w:type="dxa"/>
            <w:vAlign w:val="center"/>
          </w:tcPr>
          <w:p w14:paraId="4845A85C" w14:textId="77777777" w:rsidR="00812974" w:rsidRPr="0032532E" w:rsidRDefault="00812974" w:rsidP="00AE4292">
            <w:pPr>
              <w:pStyle w:val="Akapitzlist"/>
              <w:ind w:left="0"/>
              <w:jc w:val="center"/>
              <w:rPr>
                <w:rFonts w:ascii="Times New Roman" w:hAnsi="Times New Roman" w:cs="Times New Roman"/>
                <w:b/>
                <w:sz w:val="16"/>
                <w:szCs w:val="18"/>
              </w:rPr>
            </w:pPr>
            <w:r w:rsidRPr="0032532E">
              <w:rPr>
                <w:rFonts w:ascii="Times New Roman" w:hAnsi="Times New Roman" w:cs="Times New Roman"/>
                <w:b/>
                <w:sz w:val="16"/>
                <w:szCs w:val="18"/>
              </w:rPr>
              <w:t>6</w:t>
            </w:r>
          </w:p>
        </w:tc>
        <w:tc>
          <w:tcPr>
            <w:tcW w:w="1701" w:type="dxa"/>
          </w:tcPr>
          <w:p w14:paraId="3358B42E" w14:textId="77777777" w:rsidR="00812974" w:rsidRPr="0032532E" w:rsidRDefault="00812974" w:rsidP="00AE4292">
            <w:pPr>
              <w:pStyle w:val="Akapitzlist"/>
              <w:ind w:left="0"/>
              <w:jc w:val="both"/>
              <w:rPr>
                <w:rFonts w:ascii="Times New Roman" w:hAnsi="Times New Roman" w:cs="Times New Roman"/>
                <w:sz w:val="16"/>
                <w:szCs w:val="18"/>
              </w:rPr>
            </w:pPr>
            <w:r w:rsidRPr="0032532E">
              <w:rPr>
                <w:rFonts w:ascii="Times New Roman" w:hAnsi="Times New Roman" w:cs="Times New Roman"/>
                <w:sz w:val="16"/>
                <w:szCs w:val="18"/>
              </w:rPr>
              <w:t>JST</w:t>
            </w:r>
          </w:p>
        </w:tc>
        <w:tc>
          <w:tcPr>
            <w:tcW w:w="993" w:type="dxa"/>
            <w:vAlign w:val="center"/>
          </w:tcPr>
          <w:p w14:paraId="6D050B9F" w14:textId="06C38CA2" w:rsidR="00812974" w:rsidRPr="002906D1" w:rsidRDefault="007E5ED4" w:rsidP="00FA7551">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10 558</w:t>
            </w:r>
          </w:p>
        </w:tc>
        <w:tc>
          <w:tcPr>
            <w:tcW w:w="992" w:type="dxa"/>
            <w:vAlign w:val="center"/>
          </w:tcPr>
          <w:p w14:paraId="759BB477"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vAlign w:val="center"/>
          </w:tcPr>
          <w:p w14:paraId="71673409"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vAlign w:val="center"/>
          </w:tcPr>
          <w:p w14:paraId="1F443263" w14:textId="77777777" w:rsidR="00812974" w:rsidRPr="002906D1" w:rsidRDefault="00812974"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851" w:type="dxa"/>
            <w:vAlign w:val="center"/>
          </w:tcPr>
          <w:p w14:paraId="164DAFD9" w14:textId="77777777" w:rsidR="00812974" w:rsidRPr="002906D1" w:rsidRDefault="007F2252" w:rsidP="00AE4292">
            <w:pPr>
              <w:pStyle w:val="Akapitzlist"/>
              <w:ind w:left="0"/>
              <w:jc w:val="right"/>
              <w:rPr>
                <w:rFonts w:ascii="Times New Roman" w:hAnsi="Times New Roman" w:cs="Times New Roman"/>
                <w:sz w:val="18"/>
                <w:szCs w:val="18"/>
              </w:rPr>
            </w:pPr>
            <w:r w:rsidRPr="002906D1">
              <w:rPr>
                <w:rFonts w:ascii="Times New Roman" w:hAnsi="Times New Roman" w:cs="Times New Roman"/>
                <w:sz w:val="18"/>
                <w:szCs w:val="18"/>
              </w:rPr>
              <w:t>0</w:t>
            </w:r>
          </w:p>
        </w:tc>
        <w:tc>
          <w:tcPr>
            <w:tcW w:w="992" w:type="dxa"/>
            <w:shd w:val="clear" w:color="auto" w:fill="D9D9D9" w:themeFill="background1" w:themeFillShade="D9"/>
            <w:vAlign w:val="center"/>
          </w:tcPr>
          <w:p w14:paraId="3D5FCDEE" w14:textId="17ED9627" w:rsidR="00812974" w:rsidRPr="002906D1" w:rsidRDefault="007E5ED4" w:rsidP="008E2B16">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10 558</w:t>
            </w:r>
          </w:p>
        </w:tc>
        <w:tc>
          <w:tcPr>
            <w:tcW w:w="851" w:type="dxa"/>
            <w:shd w:val="clear" w:color="auto" w:fill="D9D9D9" w:themeFill="background1" w:themeFillShade="D9"/>
          </w:tcPr>
          <w:p w14:paraId="1F6C02D9" w14:textId="04F4AB29" w:rsidR="00812974" w:rsidRPr="002906D1" w:rsidRDefault="006833A3"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4</w:t>
            </w:r>
          </w:p>
        </w:tc>
        <w:tc>
          <w:tcPr>
            <w:tcW w:w="850" w:type="dxa"/>
            <w:shd w:val="clear" w:color="auto" w:fill="D9D9D9" w:themeFill="background1" w:themeFillShade="D9"/>
          </w:tcPr>
          <w:p w14:paraId="0DB5FB14" w14:textId="77777777" w:rsidR="00812974" w:rsidRPr="002906D1" w:rsidRDefault="0081297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0</w:t>
            </w:r>
          </w:p>
        </w:tc>
        <w:tc>
          <w:tcPr>
            <w:tcW w:w="707" w:type="dxa"/>
            <w:shd w:val="clear" w:color="auto" w:fill="D9D9D9" w:themeFill="background1" w:themeFillShade="D9"/>
          </w:tcPr>
          <w:p w14:paraId="196DE33E" w14:textId="77777777" w:rsidR="00812974" w:rsidRPr="002906D1" w:rsidRDefault="007F2252"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0</w:t>
            </w:r>
          </w:p>
        </w:tc>
      </w:tr>
      <w:tr w:rsidR="00812974" w:rsidRPr="0032532E" w14:paraId="27EC25B8" w14:textId="77777777" w:rsidTr="0032532E">
        <w:tc>
          <w:tcPr>
            <w:tcW w:w="2268" w:type="dxa"/>
            <w:gridSpan w:val="2"/>
            <w:vAlign w:val="center"/>
          </w:tcPr>
          <w:p w14:paraId="2D0656DE" w14:textId="77777777" w:rsidR="00812974" w:rsidRPr="0032532E" w:rsidRDefault="00812974" w:rsidP="00AE4292">
            <w:pPr>
              <w:pStyle w:val="Akapitzlist"/>
              <w:ind w:left="0"/>
              <w:jc w:val="both"/>
              <w:rPr>
                <w:rFonts w:ascii="Times New Roman" w:hAnsi="Times New Roman" w:cs="Times New Roman"/>
                <w:b/>
                <w:sz w:val="16"/>
                <w:szCs w:val="18"/>
              </w:rPr>
            </w:pPr>
            <w:r w:rsidRPr="0032532E">
              <w:rPr>
                <w:rFonts w:ascii="Times New Roman" w:hAnsi="Times New Roman" w:cs="Times New Roman"/>
                <w:b/>
                <w:sz w:val="16"/>
                <w:szCs w:val="18"/>
              </w:rPr>
              <w:t>RAZEM</w:t>
            </w:r>
          </w:p>
        </w:tc>
        <w:tc>
          <w:tcPr>
            <w:tcW w:w="993" w:type="dxa"/>
            <w:vAlign w:val="center"/>
          </w:tcPr>
          <w:p w14:paraId="673F585D" w14:textId="50A3E462" w:rsidR="00812974" w:rsidRPr="002906D1" w:rsidRDefault="007E5ED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38 126</w:t>
            </w:r>
          </w:p>
        </w:tc>
        <w:tc>
          <w:tcPr>
            <w:tcW w:w="992" w:type="dxa"/>
            <w:vAlign w:val="center"/>
          </w:tcPr>
          <w:p w14:paraId="042DE033" w14:textId="77E6792A" w:rsidR="00812974" w:rsidRPr="002906D1" w:rsidRDefault="007E5ED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1 789</w:t>
            </w:r>
          </w:p>
        </w:tc>
        <w:tc>
          <w:tcPr>
            <w:tcW w:w="992" w:type="dxa"/>
            <w:vAlign w:val="center"/>
          </w:tcPr>
          <w:p w14:paraId="6EFEB408" w14:textId="61EB70D6" w:rsidR="00812974" w:rsidRPr="002906D1" w:rsidRDefault="007E5ED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534</w:t>
            </w:r>
          </w:p>
        </w:tc>
        <w:tc>
          <w:tcPr>
            <w:tcW w:w="992" w:type="dxa"/>
            <w:vAlign w:val="center"/>
          </w:tcPr>
          <w:p w14:paraId="3C4D76E4" w14:textId="69405088" w:rsidR="00812974" w:rsidRPr="002906D1" w:rsidRDefault="007E5ED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13</w:t>
            </w:r>
          </w:p>
        </w:tc>
        <w:tc>
          <w:tcPr>
            <w:tcW w:w="851" w:type="dxa"/>
            <w:vAlign w:val="center"/>
          </w:tcPr>
          <w:p w14:paraId="02D6D688" w14:textId="36060434" w:rsidR="00812974" w:rsidRPr="002906D1" w:rsidRDefault="007E5ED4" w:rsidP="00812974">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575</w:t>
            </w:r>
          </w:p>
        </w:tc>
        <w:tc>
          <w:tcPr>
            <w:tcW w:w="992" w:type="dxa"/>
            <w:shd w:val="clear" w:color="auto" w:fill="D9D9D9" w:themeFill="background1" w:themeFillShade="D9"/>
            <w:vAlign w:val="center"/>
          </w:tcPr>
          <w:p w14:paraId="06F0E0BF" w14:textId="71693617" w:rsidR="00812974" w:rsidRPr="002906D1" w:rsidRDefault="007E5ED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41 036</w:t>
            </w:r>
          </w:p>
        </w:tc>
        <w:tc>
          <w:tcPr>
            <w:tcW w:w="851" w:type="dxa"/>
            <w:shd w:val="clear" w:color="auto" w:fill="D9D9D9" w:themeFill="background1" w:themeFillShade="D9"/>
            <w:vAlign w:val="center"/>
          </w:tcPr>
          <w:p w14:paraId="61EAC1D9" w14:textId="3B512A81" w:rsidR="00812974" w:rsidRPr="002906D1" w:rsidRDefault="007E5ED4" w:rsidP="006C3673">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33</w:t>
            </w:r>
          </w:p>
        </w:tc>
        <w:tc>
          <w:tcPr>
            <w:tcW w:w="850" w:type="dxa"/>
            <w:shd w:val="clear" w:color="auto" w:fill="D9D9D9" w:themeFill="background1" w:themeFillShade="D9"/>
          </w:tcPr>
          <w:p w14:paraId="061B9717" w14:textId="5F4B2BA8" w:rsidR="00812974" w:rsidRPr="002906D1" w:rsidRDefault="007E5ED4" w:rsidP="00AE4292">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817</w:t>
            </w:r>
          </w:p>
        </w:tc>
        <w:tc>
          <w:tcPr>
            <w:tcW w:w="707" w:type="dxa"/>
            <w:shd w:val="clear" w:color="auto" w:fill="D9D9D9" w:themeFill="background1" w:themeFillShade="D9"/>
          </w:tcPr>
          <w:p w14:paraId="6B7FFBCF" w14:textId="04105D64" w:rsidR="00812974" w:rsidRPr="002906D1" w:rsidRDefault="007E5ED4" w:rsidP="006C3673">
            <w:pPr>
              <w:pStyle w:val="Akapitzlist"/>
              <w:ind w:left="0"/>
              <w:jc w:val="right"/>
              <w:rPr>
                <w:rFonts w:ascii="Times New Roman" w:hAnsi="Times New Roman" w:cs="Times New Roman"/>
                <w:b/>
                <w:sz w:val="18"/>
                <w:szCs w:val="18"/>
              </w:rPr>
            </w:pPr>
            <w:r w:rsidRPr="002906D1">
              <w:rPr>
                <w:rFonts w:ascii="Times New Roman" w:hAnsi="Times New Roman" w:cs="Times New Roman"/>
                <w:b/>
                <w:sz w:val="18"/>
                <w:szCs w:val="18"/>
              </w:rPr>
              <w:t>168</w:t>
            </w:r>
          </w:p>
        </w:tc>
      </w:tr>
    </w:tbl>
    <w:p w14:paraId="3EEC8A0C" w14:textId="77777777" w:rsidR="00620BD9" w:rsidRDefault="00620BD9" w:rsidP="00841BF6">
      <w:pPr>
        <w:ind w:left="709"/>
        <w:jc w:val="both"/>
        <w:rPr>
          <w:rFonts w:ascii="Times New Roman" w:hAnsi="Times New Roman" w:cs="Times New Roman"/>
          <w:b/>
        </w:rPr>
      </w:pPr>
    </w:p>
    <w:tbl>
      <w:tblPr>
        <w:tblStyle w:val="Tabela-Siatka"/>
        <w:tblW w:w="0" w:type="auto"/>
        <w:tblInd w:w="709" w:type="dxa"/>
        <w:tblLook w:val="04A0" w:firstRow="1" w:lastRow="0" w:firstColumn="1" w:lastColumn="0" w:noHBand="0" w:noVBand="1"/>
      </w:tblPr>
      <w:tblGrid>
        <w:gridCol w:w="533"/>
        <w:gridCol w:w="2977"/>
        <w:gridCol w:w="2410"/>
        <w:gridCol w:w="2659"/>
      </w:tblGrid>
      <w:tr w:rsidR="00A24F8C" w14:paraId="3A109E15" w14:textId="77777777" w:rsidTr="008E2B16">
        <w:tc>
          <w:tcPr>
            <w:tcW w:w="533" w:type="dxa"/>
            <w:vAlign w:val="center"/>
          </w:tcPr>
          <w:p w14:paraId="1378BBC3" w14:textId="77777777" w:rsidR="00A24F8C" w:rsidRPr="009A7727" w:rsidRDefault="00A24F8C" w:rsidP="00AE4292">
            <w:pPr>
              <w:pStyle w:val="Akapitzlist"/>
              <w:ind w:left="0"/>
              <w:jc w:val="center"/>
              <w:rPr>
                <w:rFonts w:ascii="Times New Roman" w:hAnsi="Times New Roman" w:cs="Times New Roman"/>
                <w:b/>
                <w:sz w:val="16"/>
              </w:rPr>
            </w:pPr>
            <w:r w:rsidRPr="009A7727">
              <w:rPr>
                <w:rFonts w:ascii="Times New Roman" w:hAnsi="Times New Roman" w:cs="Times New Roman"/>
                <w:b/>
                <w:sz w:val="16"/>
              </w:rPr>
              <w:t>Lp.</w:t>
            </w:r>
          </w:p>
        </w:tc>
        <w:tc>
          <w:tcPr>
            <w:tcW w:w="2977" w:type="dxa"/>
            <w:vAlign w:val="center"/>
          </w:tcPr>
          <w:p w14:paraId="19C7F3AC" w14:textId="77777777" w:rsidR="00A24F8C" w:rsidRPr="009A7727" w:rsidRDefault="00A24F8C" w:rsidP="00AE4292">
            <w:pPr>
              <w:pStyle w:val="Akapitzlist"/>
              <w:ind w:left="0"/>
              <w:jc w:val="center"/>
              <w:rPr>
                <w:rFonts w:ascii="Times New Roman" w:hAnsi="Times New Roman" w:cs="Times New Roman"/>
                <w:b/>
                <w:sz w:val="16"/>
              </w:rPr>
            </w:pPr>
          </w:p>
        </w:tc>
        <w:tc>
          <w:tcPr>
            <w:tcW w:w="2410" w:type="dxa"/>
          </w:tcPr>
          <w:p w14:paraId="26DBBA12" w14:textId="77777777" w:rsidR="00A24F8C" w:rsidRPr="00A24F8C" w:rsidRDefault="00A24F8C" w:rsidP="00AD7AF8">
            <w:pPr>
              <w:jc w:val="center"/>
              <w:rPr>
                <w:rFonts w:ascii="Times New Roman" w:hAnsi="Times New Roman" w:cs="Times New Roman"/>
                <w:b/>
                <w:sz w:val="16"/>
              </w:rPr>
            </w:pPr>
            <w:r w:rsidRPr="00A24F8C">
              <w:rPr>
                <w:rFonts w:ascii="Times New Roman" w:hAnsi="Times New Roman" w:cs="Times New Roman"/>
                <w:b/>
                <w:sz w:val="16"/>
              </w:rPr>
              <w:t>Ekspozycja przed zastosowanie technik redukcji ryzyka kredytowego</w:t>
            </w:r>
          </w:p>
        </w:tc>
        <w:tc>
          <w:tcPr>
            <w:tcW w:w="2659" w:type="dxa"/>
          </w:tcPr>
          <w:p w14:paraId="567DFAF0" w14:textId="77777777" w:rsidR="00A24F8C" w:rsidRPr="00A24F8C" w:rsidRDefault="00A24F8C" w:rsidP="00AD7AF8">
            <w:pPr>
              <w:jc w:val="center"/>
              <w:rPr>
                <w:rFonts w:ascii="Times New Roman" w:hAnsi="Times New Roman" w:cs="Times New Roman"/>
                <w:b/>
                <w:sz w:val="16"/>
              </w:rPr>
            </w:pPr>
            <w:r w:rsidRPr="00A24F8C">
              <w:rPr>
                <w:rFonts w:ascii="Times New Roman" w:hAnsi="Times New Roman" w:cs="Times New Roman"/>
                <w:b/>
                <w:sz w:val="16"/>
              </w:rPr>
              <w:t xml:space="preserve">Ekspozycja </w:t>
            </w:r>
            <w:r>
              <w:rPr>
                <w:rFonts w:ascii="Times New Roman" w:hAnsi="Times New Roman" w:cs="Times New Roman"/>
                <w:b/>
                <w:sz w:val="16"/>
              </w:rPr>
              <w:t>po</w:t>
            </w:r>
            <w:r w:rsidRPr="00A24F8C">
              <w:rPr>
                <w:rFonts w:ascii="Times New Roman" w:hAnsi="Times New Roman" w:cs="Times New Roman"/>
                <w:b/>
                <w:sz w:val="16"/>
              </w:rPr>
              <w:t xml:space="preserve"> zastosowanie technik redukcji ryzyka kredytowego</w:t>
            </w:r>
          </w:p>
        </w:tc>
      </w:tr>
      <w:tr w:rsidR="006C3673" w14:paraId="41E0C6A9" w14:textId="77777777" w:rsidTr="0032532E">
        <w:tc>
          <w:tcPr>
            <w:tcW w:w="533" w:type="dxa"/>
            <w:vAlign w:val="center"/>
          </w:tcPr>
          <w:p w14:paraId="2A8D5DC0" w14:textId="77777777" w:rsidR="006C3673" w:rsidRPr="008E2B16" w:rsidRDefault="006C3673" w:rsidP="00AE4292">
            <w:pPr>
              <w:pStyle w:val="Akapitzlist"/>
              <w:ind w:left="0"/>
              <w:jc w:val="center"/>
              <w:rPr>
                <w:rFonts w:ascii="Times New Roman" w:hAnsi="Times New Roman" w:cs="Times New Roman"/>
                <w:b/>
                <w:sz w:val="24"/>
                <w:szCs w:val="24"/>
              </w:rPr>
            </w:pPr>
            <w:r w:rsidRPr="008E2B16">
              <w:rPr>
                <w:rFonts w:ascii="Times New Roman" w:hAnsi="Times New Roman" w:cs="Times New Roman"/>
                <w:b/>
                <w:sz w:val="24"/>
                <w:szCs w:val="24"/>
              </w:rPr>
              <w:t>1.</w:t>
            </w:r>
          </w:p>
        </w:tc>
        <w:tc>
          <w:tcPr>
            <w:tcW w:w="2977" w:type="dxa"/>
          </w:tcPr>
          <w:p w14:paraId="0C526B97" w14:textId="77777777" w:rsidR="006C3673" w:rsidRPr="00620BD9" w:rsidRDefault="006C3673" w:rsidP="00AE4292">
            <w:pPr>
              <w:pStyle w:val="Akapitzlist"/>
              <w:ind w:left="0"/>
              <w:rPr>
                <w:rFonts w:ascii="Times New Roman" w:hAnsi="Times New Roman" w:cs="Times New Roman"/>
                <w:sz w:val="20"/>
                <w:szCs w:val="20"/>
              </w:rPr>
            </w:pPr>
            <w:r w:rsidRPr="00620BD9">
              <w:rPr>
                <w:rFonts w:ascii="Times New Roman" w:hAnsi="Times New Roman" w:cs="Times New Roman"/>
                <w:sz w:val="20"/>
                <w:szCs w:val="20"/>
              </w:rPr>
              <w:t>Przedsiębiorstwa i spółki oraz spółdz.</w:t>
            </w:r>
          </w:p>
        </w:tc>
        <w:tc>
          <w:tcPr>
            <w:tcW w:w="2410" w:type="dxa"/>
            <w:vAlign w:val="center"/>
          </w:tcPr>
          <w:p w14:paraId="50F6355B" w14:textId="48844965" w:rsidR="006C3673" w:rsidRPr="00620BD9" w:rsidRDefault="001D0238" w:rsidP="0038056E">
            <w:pPr>
              <w:pStyle w:val="Akapitzlist"/>
              <w:ind w:left="0"/>
              <w:jc w:val="right"/>
              <w:rPr>
                <w:rFonts w:ascii="Times New Roman" w:hAnsi="Times New Roman" w:cs="Times New Roman"/>
                <w:b/>
                <w:sz w:val="20"/>
                <w:szCs w:val="20"/>
              </w:rPr>
            </w:pPr>
            <w:r>
              <w:rPr>
                <w:rFonts w:ascii="Times New Roman" w:hAnsi="Times New Roman" w:cs="Times New Roman"/>
                <w:b/>
                <w:sz w:val="20"/>
                <w:szCs w:val="20"/>
              </w:rPr>
              <w:t>3 948</w:t>
            </w:r>
          </w:p>
        </w:tc>
        <w:tc>
          <w:tcPr>
            <w:tcW w:w="2659" w:type="dxa"/>
            <w:vAlign w:val="center"/>
          </w:tcPr>
          <w:p w14:paraId="1069B210" w14:textId="4779B124" w:rsidR="006C3673" w:rsidRPr="00620BD9" w:rsidRDefault="00E53763" w:rsidP="00A24F8C">
            <w:pPr>
              <w:jc w:val="right"/>
              <w:rPr>
                <w:rFonts w:ascii="Times New Roman" w:hAnsi="Times New Roman" w:cs="Times New Roman"/>
                <w:b/>
                <w:sz w:val="20"/>
                <w:szCs w:val="20"/>
              </w:rPr>
            </w:pPr>
            <w:r>
              <w:rPr>
                <w:rFonts w:ascii="Times New Roman" w:hAnsi="Times New Roman" w:cs="Times New Roman"/>
                <w:b/>
                <w:sz w:val="20"/>
                <w:szCs w:val="20"/>
              </w:rPr>
              <w:t>1 715</w:t>
            </w:r>
          </w:p>
        </w:tc>
      </w:tr>
      <w:tr w:rsidR="006C3673" w14:paraId="2A20DB4E" w14:textId="77777777" w:rsidTr="0038056E">
        <w:tc>
          <w:tcPr>
            <w:tcW w:w="533" w:type="dxa"/>
            <w:vAlign w:val="center"/>
          </w:tcPr>
          <w:p w14:paraId="673219BC" w14:textId="77777777" w:rsidR="006C3673" w:rsidRPr="008E2B16" w:rsidRDefault="006C3673" w:rsidP="00AE4292">
            <w:pPr>
              <w:pStyle w:val="Akapitzlist"/>
              <w:ind w:left="0"/>
              <w:jc w:val="center"/>
              <w:rPr>
                <w:rFonts w:ascii="Times New Roman" w:hAnsi="Times New Roman" w:cs="Times New Roman"/>
                <w:b/>
                <w:sz w:val="24"/>
                <w:szCs w:val="24"/>
              </w:rPr>
            </w:pPr>
            <w:r w:rsidRPr="008E2B16">
              <w:rPr>
                <w:rFonts w:ascii="Times New Roman" w:hAnsi="Times New Roman" w:cs="Times New Roman"/>
                <w:b/>
                <w:sz w:val="24"/>
                <w:szCs w:val="24"/>
              </w:rPr>
              <w:t>2.</w:t>
            </w:r>
          </w:p>
        </w:tc>
        <w:tc>
          <w:tcPr>
            <w:tcW w:w="2977" w:type="dxa"/>
          </w:tcPr>
          <w:p w14:paraId="0812210F" w14:textId="77777777" w:rsidR="006C3673" w:rsidRPr="00620BD9" w:rsidRDefault="006C3673" w:rsidP="00AE4292">
            <w:pPr>
              <w:pStyle w:val="Akapitzlist"/>
              <w:ind w:left="0"/>
              <w:jc w:val="both"/>
              <w:rPr>
                <w:rFonts w:ascii="Times New Roman" w:hAnsi="Times New Roman" w:cs="Times New Roman"/>
                <w:sz w:val="20"/>
                <w:szCs w:val="20"/>
              </w:rPr>
            </w:pPr>
            <w:r w:rsidRPr="00620BD9">
              <w:rPr>
                <w:rFonts w:ascii="Times New Roman" w:hAnsi="Times New Roman" w:cs="Times New Roman"/>
                <w:sz w:val="20"/>
                <w:szCs w:val="20"/>
              </w:rPr>
              <w:t>Rolnicy indywidualni</w:t>
            </w:r>
          </w:p>
        </w:tc>
        <w:tc>
          <w:tcPr>
            <w:tcW w:w="2410" w:type="dxa"/>
            <w:vAlign w:val="center"/>
          </w:tcPr>
          <w:p w14:paraId="3A8AF52C" w14:textId="2AF2018A" w:rsidR="006C3673" w:rsidRPr="00620BD9" w:rsidRDefault="001D0238" w:rsidP="0038056E">
            <w:pPr>
              <w:pStyle w:val="Akapitzlist"/>
              <w:ind w:left="0"/>
              <w:jc w:val="right"/>
              <w:rPr>
                <w:rFonts w:ascii="Times New Roman" w:hAnsi="Times New Roman" w:cs="Times New Roman"/>
                <w:b/>
                <w:sz w:val="20"/>
                <w:szCs w:val="20"/>
              </w:rPr>
            </w:pPr>
            <w:r>
              <w:rPr>
                <w:rFonts w:ascii="Times New Roman" w:hAnsi="Times New Roman" w:cs="Times New Roman"/>
                <w:b/>
                <w:sz w:val="20"/>
                <w:szCs w:val="20"/>
              </w:rPr>
              <w:t>186</w:t>
            </w:r>
          </w:p>
        </w:tc>
        <w:tc>
          <w:tcPr>
            <w:tcW w:w="2659" w:type="dxa"/>
          </w:tcPr>
          <w:p w14:paraId="7FEC5FB7" w14:textId="35925A97" w:rsidR="006C3673" w:rsidRPr="00620BD9" w:rsidRDefault="00E53763" w:rsidP="006C3673">
            <w:pPr>
              <w:jc w:val="right"/>
              <w:rPr>
                <w:rFonts w:ascii="Times New Roman" w:hAnsi="Times New Roman" w:cs="Times New Roman"/>
                <w:b/>
                <w:sz w:val="20"/>
                <w:szCs w:val="20"/>
              </w:rPr>
            </w:pPr>
            <w:r>
              <w:rPr>
                <w:rFonts w:ascii="Times New Roman" w:hAnsi="Times New Roman" w:cs="Times New Roman"/>
                <w:b/>
                <w:sz w:val="20"/>
                <w:szCs w:val="20"/>
              </w:rPr>
              <w:t>186</w:t>
            </w:r>
          </w:p>
        </w:tc>
      </w:tr>
      <w:tr w:rsidR="006C3673" w14:paraId="7FCA1ED4" w14:textId="77777777" w:rsidTr="0038056E">
        <w:tc>
          <w:tcPr>
            <w:tcW w:w="533" w:type="dxa"/>
            <w:vAlign w:val="center"/>
          </w:tcPr>
          <w:p w14:paraId="498A017F" w14:textId="77777777" w:rsidR="006C3673" w:rsidRPr="008E2B16" w:rsidRDefault="006C3673" w:rsidP="00AE4292">
            <w:pPr>
              <w:pStyle w:val="Akapitzlist"/>
              <w:ind w:left="0"/>
              <w:jc w:val="center"/>
              <w:rPr>
                <w:rFonts w:ascii="Times New Roman" w:hAnsi="Times New Roman" w:cs="Times New Roman"/>
                <w:b/>
                <w:sz w:val="24"/>
                <w:szCs w:val="24"/>
              </w:rPr>
            </w:pPr>
            <w:r w:rsidRPr="008E2B16">
              <w:rPr>
                <w:rFonts w:ascii="Times New Roman" w:hAnsi="Times New Roman" w:cs="Times New Roman"/>
                <w:b/>
                <w:sz w:val="24"/>
                <w:szCs w:val="24"/>
              </w:rPr>
              <w:t>3.</w:t>
            </w:r>
          </w:p>
        </w:tc>
        <w:tc>
          <w:tcPr>
            <w:tcW w:w="2977" w:type="dxa"/>
          </w:tcPr>
          <w:p w14:paraId="4E684DE3" w14:textId="77777777" w:rsidR="006C3673" w:rsidRPr="00620BD9" w:rsidRDefault="006C3673" w:rsidP="00AE4292">
            <w:pPr>
              <w:pStyle w:val="Akapitzlist"/>
              <w:ind w:left="0"/>
              <w:jc w:val="both"/>
              <w:rPr>
                <w:rFonts w:ascii="Times New Roman" w:hAnsi="Times New Roman" w:cs="Times New Roman"/>
                <w:sz w:val="20"/>
                <w:szCs w:val="20"/>
              </w:rPr>
            </w:pPr>
            <w:r w:rsidRPr="00620BD9">
              <w:rPr>
                <w:rFonts w:ascii="Times New Roman" w:hAnsi="Times New Roman" w:cs="Times New Roman"/>
                <w:sz w:val="20"/>
                <w:szCs w:val="20"/>
              </w:rPr>
              <w:t>Przedsiębiorcy indywidualni</w:t>
            </w:r>
          </w:p>
        </w:tc>
        <w:tc>
          <w:tcPr>
            <w:tcW w:w="2410" w:type="dxa"/>
            <w:vAlign w:val="center"/>
          </w:tcPr>
          <w:p w14:paraId="1280D4C2" w14:textId="0F3BB7E3" w:rsidR="006C3673" w:rsidRPr="00620BD9" w:rsidRDefault="001D0238" w:rsidP="00FA7551">
            <w:pPr>
              <w:pStyle w:val="Akapitzlist"/>
              <w:ind w:left="0"/>
              <w:jc w:val="right"/>
              <w:rPr>
                <w:rFonts w:ascii="Times New Roman" w:hAnsi="Times New Roman" w:cs="Times New Roman"/>
                <w:b/>
                <w:sz w:val="20"/>
                <w:szCs w:val="20"/>
              </w:rPr>
            </w:pPr>
            <w:r>
              <w:rPr>
                <w:rFonts w:ascii="Times New Roman" w:hAnsi="Times New Roman" w:cs="Times New Roman"/>
                <w:b/>
                <w:sz w:val="20"/>
                <w:szCs w:val="20"/>
              </w:rPr>
              <w:t>11 086</w:t>
            </w:r>
          </w:p>
        </w:tc>
        <w:tc>
          <w:tcPr>
            <w:tcW w:w="2659" w:type="dxa"/>
          </w:tcPr>
          <w:p w14:paraId="736EE167" w14:textId="7B25D57E" w:rsidR="006C3673" w:rsidRPr="00620BD9" w:rsidRDefault="00E53763" w:rsidP="006C3673">
            <w:pPr>
              <w:jc w:val="right"/>
              <w:rPr>
                <w:rFonts w:ascii="Times New Roman" w:hAnsi="Times New Roman" w:cs="Times New Roman"/>
                <w:b/>
                <w:sz w:val="20"/>
                <w:szCs w:val="20"/>
              </w:rPr>
            </w:pPr>
            <w:r>
              <w:rPr>
                <w:rFonts w:ascii="Times New Roman" w:hAnsi="Times New Roman" w:cs="Times New Roman"/>
                <w:b/>
                <w:sz w:val="20"/>
                <w:szCs w:val="20"/>
              </w:rPr>
              <w:t>9 240</w:t>
            </w:r>
          </w:p>
        </w:tc>
      </w:tr>
      <w:tr w:rsidR="006C3673" w14:paraId="57CB18FD" w14:textId="77777777" w:rsidTr="0038056E">
        <w:tc>
          <w:tcPr>
            <w:tcW w:w="533" w:type="dxa"/>
            <w:vAlign w:val="center"/>
          </w:tcPr>
          <w:p w14:paraId="080DB94F" w14:textId="77777777" w:rsidR="006C3673" w:rsidRPr="008E2B16" w:rsidRDefault="006C3673" w:rsidP="00AE4292">
            <w:pPr>
              <w:pStyle w:val="Akapitzlist"/>
              <w:ind w:left="0"/>
              <w:jc w:val="center"/>
              <w:rPr>
                <w:rFonts w:ascii="Times New Roman" w:hAnsi="Times New Roman" w:cs="Times New Roman"/>
                <w:b/>
                <w:sz w:val="24"/>
                <w:szCs w:val="24"/>
              </w:rPr>
            </w:pPr>
            <w:r w:rsidRPr="008E2B16">
              <w:rPr>
                <w:rFonts w:ascii="Times New Roman" w:hAnsi="Times New Roman" w:cs="Times New Roman"/>
                <w:b/>
                <w:sz w:val="24"/>
                <w:szCs w:val="24"/>
              </w:rPr>
              <w:t>4.</w:t>
            </w:r>
          </w:p>
        </w:tc>
        <w:tc>
          <w:tcPr>
            <w:tcW w:w="2977" w:type="dxa"/>
          </w:tcPr>
          <w:p w14:paraId="118ABCC8" w14:textId="77777777" w:rsidR="006C3673" w:rsidRPr="00620BD9" w:rsidRDefault="006C3673" w:rsidP="00AE4292">
            <w:pPr>
              <w:pStyle w:val="Akapitzlist"/>
              <w:ind w:left="0"/>
              <w:jc w:val="both"/>
              <w:rPr>
                <w:rFonts w:ascii="Times New Roman" w:hAnsi="Times New Roman" w:cs="Times New Roman"/>
                <w:sz w:val="20"/>
                <w:szCs w:val="20"/>
              </w:rPr>
            </w:pPr>
            <w:r w:rsidRPr="00620BD9">
              <w:rPr>
                <w:rFonts w:ascii="Times New Roman" w:hAnsi="Times New Roman" w:cs="Times New Roman"/>
                <w:sz w:val="20"/>
                <w:szCs w:val="20"/>
              </w:rPr>
              <w:t>Osoby prywatne</w:t>
            </w:r>
          </w:p>
        </w:tc>
        <w:tc>
          <w:tcPr>
            <w:tcW w:w="2410" w:type="dxa"/>
            <w:vAlign w:val="center"/>
          </w:tcPr>
          <w:p w14:paraId="1278F729" w14:textId="7F76778A" w:rsidR="006C3673" w:rsidRPr="00620BD9" w:rsidRDefault="001D0238" w:rsidP="00FA7551">
            <w:pPr>
              <w:pStyle w:val="Akapitzlist"/>
              <w:ind w:left="0"/>
              <w:jc w:val="right"/>
              <w:rPr>
                <w:rFonts w:ascii="Times New Roman" w:hAnsi="Times New Roman" w:cs="Times New Roman"/>
                <w:b/>
                <w:sz w:val="20"/>
                <w:szCs w:val="20"/>
              </w:rPr>
            </w:pPr>
            <w:r>
              <w:rPr>
                <w:rFonts w:ascii="Times New Roman" w:hAnsi="Times New Roman" w:cs="Times New Roman"/>
                <w:b/>
                <w:sz w:val="20"/>
                <w:szCs w:val="20"/>
              </w:rPr>
              <w:t>15 258</w:t>
            </w:r>
          </w:p>
        </w:tc>
        <w:tc>
          <w:tcPr>
            <w:tcW w:w="2659" w:type="dxa"/>
          </w:tcPr>
          <w:p w14:paraId="45AEA3B4" w14:textId="76D86133" w:rsidR="006C3673" w:rsidRPr="00620BD9" w:rsidRDefault="001D0238" w:rsidP="00A24F8C">
            <w:pPr>
              <w:jc w:val="right"/>
              <w:rPr>
                <w:rFonts w:ascii="Times New Roman" w:hAnsi="Times New Roman" w:cs="Times New Roman"/>
                <w:b/>
                <w:sz w:val="20"/>
                <w:szCs w:val="20"/>
              </w:rPr>
            </w:pPr>
            <w:r>
              <w:rPr>
                <w:rFonts w:ascii="Times New Roman" w:hAnsi="Times New Roman" w:cs="Times New Roman"/>
                <w:b/>
                <w:sz w:val="20"/>
                <w:szCs w:val="20"/>
              </w:rPr>
              <w:t>11 583</w:t>
            </w:r>
          </w:p>
        </w:tc>
      </w:tr>
      <w:tr w:rsidR="006C3673" w14:paraId="65A33E31" w14:textId="77777777" w:rsidTr="0038056E">
        <w:tc>
          <w:tcPr>
            <w:tcW w:w="533" w:type="dxa"/>
            <w:vAlign w:val="center"/>
          </w:tcPr>
          <w:p w14:paraId="258A91A1" w14:textId="77777777" w:rsidR="006C3673" w:rsidRPr="008E2B16" w:rsidRDefault="006C3673" w:rsidP="00AE4292">
            <w:pPr>
              <w:pStyle w:val="Akapitzlist"/>
              <w:ind w:left="0"/>
              <w:jc w:val="center"/>
              <w:rPr>
                <w:rFonts w:ascii="Times New Roman" w:hAnsi="Times New Roman" w:cs="Times New Roman"/>
                <w:b/>
                <w:sz w:val="24"/>
                <w:szCs w:val="24"/>
              </w:rPr>
            </w:pPr>
            <w:r w:rsidRPr="008E2B16">
              <w:rPr>
                <w:rFonts w:ascii="Times New Roman" w:hAnsi="Times New Roman" w:cs="Times New Roman"/>
                <w:b/>
                <w:sz w:val="24"/>
                <w:szCs w:val="24"/>
              </w:rPr>
              <w:t>5.</w:t>
            </w:r>
          </w:p>
        </w:tc>
        <w:tc>
          <w:tcPr>
            <w:tcW w:w="2977" w:type="dxa"/>
          </w:tcPr>
          <w:p w14:paraId="5001A0A8" w14:textId="77777777" w:rsidR="006C3673" w:rsidRPr="00620BD9" w:rsidRDefault="006C3673" w:rsidP="00AE4292">
            <w:pPr>
              <w:pStyle w:val="Akapitzlist"/>
              <w:ind w:left="0"/>
              <w:jc w:val="both"/>
              <w:rPr>
                <w:rFonts w:ascii="Times New Roman" w:hAnsi="Times New Roman" w:cs="Times New Roman"/>
                <w:sz w:val="20"/>
                <w:szCs w:val="20"/>
              </w:rPr>
            </w:pPr>
            <w:r w:rsidRPr="00620BD9">
              <w:rPr>
                <w:rFonts w:ascii="Times New Roman" w:hAnsi="Times New Roman" w:cs="Times New Roman"/>
                <w:sz w:val="20"/>
                <w:szCs w:val="20"/>
              </w:rPr>
              <w:t xml:space="preserve">Instytucje niekomercyjne </w:t>
            </w:r>
          </w:p>
        </w:tc>
        <w:tc>
          <w:tcPr>
            <w:tcW w:w="2410" w:type="dxa"/>
            <w:vAlign w:val="center"/>
          </w:tcPr>
          <w:p w14:paraId="697D3EB2" w14:textId="77777777" w:rsidR="006C3673" w:rsidRPr="00620BD9" w:rsidRDefault="006C3673" w:rsidP="0038056E">
            <w:pPr>
              <w:pStyle w:val="Akapitzlist"/>
              <w:ind w:left="0"/>
              <w:jc w:val="right"/>
              <w:rPr>
                <w:rFonts w:ascii="Times New Roman" w:hAnsi="Times New Roman" w:cs="Times New Roman"/>
                <w:b/>
                <w:sz w:val="20"/>
                <w:szCs w:val="20"/>
              </w:rPr>
            </w:pPr>
            <w:r w:rsidRPr="00620BD9">
              <w:rPr>
                <w:rFonts w:ascii="Times New Roman" w:hAnsi="Times New Roman" w:cs="Times New Roman"/>
                <w:b/>
                <w:sz w:val="20"/>
                <w:szCs w:val="20"/>
              </w:rPr>
              <w:t>0</w:t>
            </w:r>
          </w:p>
        </w:tc>
        <w:tc>
          <w:tcPr>
            <w:tcW w:w="2659" w:type="dxa"/>
            <w:vAlign w:val="center"/>
          </w:tcPr>
          <w:p w14:paraId="04DB2190" w14:textId="77777777" w:rsidR="006C3673" w:rsidRPr="00620BD9" w:rsidRDefault="006C3673" w:rsidP="008E2B16">
            <w:pPr>
              <w:pStyle w:val="Akapitzlist"/>
              <w:ind w:left="0"/>
              <w:jc w:val="right"/>
              <w:rPr>
                <w:rFonts w:ascii="Times New Roman" w:hAnsi="Times New Roman" w:cs="Times New Roman"/>
                <w:b/>
                <w:sz w:val="20"/>
                <w:szCs w:val="20"/>
              </w:rPr>
            </w:pPr>
            <w:r w:rsidRPr="00620BD9">
              <w:rPr>
                <w:rFonts w:ascii="Times New Roman" w:hAnsi="Times New Roman" w:cs="Times New Roman"/>
                <w:b/>
                <w:sz w:val="20"/>
                <w:szCs w:val="20"/>
              </w:rPr>
              <w:t xml:space="preserve">              0</w:t>
            </w:r>
          </w:p>
        </w:tc>
      </w:tr>
      <w:tr w:rsidR="006C3673" w14:paraId="042BFC40" w14:textId="77777777" w:rsidTr="0038056E">
        <w:tc>
          <w:tcPr>
            <w:tcW w:w="533" w:type="dxa"/>
            <w:vAlign w:val="center"/>
          </w:tcPr>
          <w:p w14:paraId="4295D66F" w14:textId="77777777" w:rsidR="006C3673" w:rsidRPr="008E2B16" w:rsidRDefault="006C3673" w:rsidP="00AE4292">
            <w:pPr>
              <w:pStyle w:val="Akapitzlist"/>
              <w:ind w:left="0"/>
              <w:jc w:val="center"/>
              <w:rPr>
                <w:rFonts w:ascii="Times New Roman" w:hAnsi="Times New Roman" w:cs="Times New Roman"/>
                <w:b/>
                <w:sz w:val="24"/>
                <w:szCs w:val="24"/>
              </w:rPr>
            </w:pPr>
            <w:r w:rsidRPr="008E2B16">
              <w:rPr>
                <w:rFonts w:ascii="Times New Roman" w:hAnsi="Times New Roman" w:cs="Times New Roman"/>
                <w:b/>
                <w:sz w:val="24"/>
                <w:szCs w:val="24"/>
              </w:rPr>
              <w:t>6</w:t>
            </w:r>
          </w:p>
        </w:tc>
        <w:tc>
          <w:tcPr>
            <w:tcW w:w="2977" w:type="dxa"/>
          </w:tcPr>
          <w:p w14:paraId="09504B1A" w14:textId="77777777" w:rsidR="006C3673" w:rsidRPr="00620BD9" w:rsidRDefault="006C3673" w:rsidP="00AE4292">
            <w:pPr>
              <w:pStyle w:val="Akapitzlist"/>
              <w:ind w:left="0"/>
              <w:jc w:val="both"/>
              <w:rPr>
                <w:rFonts w:ascii="Times New Roman" w:hAnsi="Times New Roman" w:cs="Times New Roman"/>
                <w:sz w:val="20"/>
                <w:szCs w:val="20"/>
              </w:rPr>
            </w:pPr>
            <w:r w:rsidRPr="00620BD9">
              <w:rPr>
                <w:rFonts w:ascii="Times New Roman" w:hAnsi="Times New Roman" w:cs="Times New Roman"/>
                <w:sz w:val="20"/>
                <w:szCs w:val="20"/>
              </w:rPr>
              <w:t>JST</w:t>
            </w:r>
          </w:p>
        </w:tc>
        <w:tc>
          <w:tcPr>
            <w:tcW w:w="2410" w:type="dxa"/>
            <w:vAlign w:val="center"/>
          </w:tcPr>
          <w:p w14:paraId="685DD1B3" w14:textId="46AFA07B" w:rsidR="006C3673" w:rsidRPr="00620BD9" w:rsidRDefault="001D0238" w:rsidP="0038056E">
            <w:pPr>
              <w:pStyle w:val="Akapitzlist"/>
              <w:ind w:left="0"/>
              <w:jc w:val="right"/>
              <w:rPr>
                <w:rFonts w:ascii="Times New Roman" w:hAnsi="Times New Roman" w:cs="Times New Roman"/>
                <w:b/>
                <w:sz w:val="20"/>
                <w:szCs w:val="20"/>
              </w:rPr>
            </w:pPr>
            <w:r>
              <w:rPr>
                <w:rFonts w:ascii="Times New Roman" w:hAnsi="Times New Roman" w:cs="Times New Roman"/>
                <w:b/>
                <w:sz w:val="20"/>
                <w:szCs w:val="20"/>
              </w:rPr>
              <w:t>10 558</w:t>
            </w:r>
          </w:p>
        </w:tc>
        <w:tc>
          <w:tcPr>
            <w:tcW w:w="2659" w:type="dxa"/>
          </w:tcPr>
          <w:p w14:paraId="7242B523" w14:textId="717E894C" w:rsidR="006C3673" w:rsidRPr="00620BD9" w:rsidRDefault="001D0238" w:rsidP="00A24F8C">
            <w:pPr>
              <w:jc w:val="right"/>
              <w:rPr>
                <w:rFonts w:ascii="Times New Roman" w:hAnsi="Times New Roman" w:cs="Times New Roman"/>
                <w:b/>
                <w:sz w:val="20"/>
                <w:szCs w:val="20"/>
              </w:rPr>
            </w:pPr>
            <w:r>
              <w:rPr>
                <w:rFonts w:ascii="Times New Roman" w:hAnsi="Times New Roman" w:cs="Times New Roman"/>
                <w:b/>
                <w:sz w:val="20"/>
                <w:szCs w:val="20"/>
              </w:rPr>
              <w:t>2 112</w:t>
            </w:r>
          </w:p>
        </w:tc>
      </w:tr>
      <w:tr w:rsidR="006C3673" w14:paraId="78E731E0" w14:textId="77777777" w:rsidTr="0038056E">
        <w:tc>
          <w:tcPr>
            <w:tcW w:w="3510" w:type="dxa"/>
            <w:gridSpan w:val="2"/>
            <w:vAlign w:val="center"/>
          </w:tcPr>
          <w:p w14:paraId="2678D288" w14:textId="77777777" w:rsidR="006C3673" w:rsidRPr="008E2B16" w:rsidRDefault="006C3673" w:rsidP="00AE4292">
            <w:pPr>
              <w:pStyle w:val="Akapitzlist"/>
              <w:ind w:left="0"/>
              <w:jc w:val="both"/>
              <w:rPr>
                <w:rFonts w:ascii="Times New Roman" w:hAnsi="Times New Roman" w:cs="Times New Roman"/>
                <w:sz w:val="24"/>
                <w:szCs w:val="24"/>
              </w:rPr>
            </w:pPr>
            <w:r w:rsidRPr="008E2B16">
              <w:rPr>
                <w:rFonts w:ascii="Times New Roman" w:hAnsi="Times New Roman" w:cs="Times New Roman"/>
                <w:sz w:val="24"/>
                <w:szCs w:val="24"/>
              </w:rPr>
              <w:t>RAZEM</w:t>
            </w:r>
          </w:p>
        </w:tc>
        <w:tc>
          <w:tcPr>
            <w:tcW w:w="2410" w:type="dxa"/>
          </w:tcPr>
          <w:p w14:paraId="0431767D" w14:textId="259412F0" w:rsidR="006C3673" w:rsidRPr="00620BD9" w:rsidRDefault="001D0238" w:rsidP="00A24F8C">
            <w:pPr>
              <w:jc w:val="right"/>
              <w:rPr>
                <w:rFonts w:ascii="Times New Roman" w:hAnsi="Times New Roman" w:cs="Times New Roman"/>
                <w:b/>
                <w:sz w:val="20"/>
                <w:szCs w:val="20"/>
              </w:rPr>
            </w:pPr>
            <w:r>
              <w:rPr>
                <w:rFonts w:ascii="Times New Roman" w:hAnsi="Times New Roman" w:cs="Times New Roman"/>
                <w:b/>
                <w:sz w:val="20"/>
                <w:szCs w:val="20"/>
              </w:rPr>
              <w:t>41 036</w:t>
            </w:r>
          </w:p>
        </w:tc>
        <w:tc>
          <w:tcPr>
            <w:tcW w:w="2659" w:type="dxa"/>
            <w:vAlign w:val="center"/>
          </w:tcPr>
          <w:p w14:paraId="789B4D08" w14:textId="3C909E7A" w:rsidR="006C3673" w:rsidRPr="00620BD9" w:rsidRDefault="00E53763" w:rsidP="006C3673">
            <w:pPr>
              <w:pStyle w:val="Akapitzlist"/>
              <w:ind w:left="0"/>
              <w:jc w:val="right"/>
              <w:rPr>
                <w:rFonts w:ascii="Times New Roman" w:hAnsi="Times New Roman" w:cs="Times New Roman"/>
                <w:b/>
                <w:sz w:val="20"/>
                <w:szCs w:val="20"/>
              </w:rPr>
            </w:pPr>
            <w:r>
              <w:rPr>
                <w:rFonts w:ascii="Times New Roman" w:hAnsi="Times New Roman" w:cs="Times New Roman"/>
                <w:b/>
                <w:sz w:val="20"/>
                <w:szCs w:val="20"/>
              </w:rPr>
              <w:t>24 836</w:t>
            </w:r>
          </w:p>
        </w:tc>
      </w:tr>
    </w:tbl>
    <w:p w14:paraId="587155E2" w14:textId="77777777" w:rsidR="008C1A69" w:rsidRDefault="008C1A69" w:rsidP="007902AA">
      <w:pPr>
        <w:pStyle w:val="Akapitzlist"/>
        <w:spacing w:line="240" w:lineRule="auto"/>
        <w:ind w:left="0"/>
        <w:jc w:val="center"/>
        <w:rPr>
          <w:rFonts w:ascii="Times New Roman" w:hAnsi="Times New Roman" w:cs="Times New Roman"/>
          <w:b/>
          <w:sz w:val="24"/>
          <w:szCs w:val="24"/>
        </w:rPr>
      </w:pPr>
    </w:p>
    <w:p w14:paraId="0EF8B484" w14:textId="77777777" w:rsidR="00620BD9" w:rsidRDefault="00620BD9" w:rsidP="007902AA">
      <w:pPr>
        <w:pStyle w:val="Akapitzlist"/>
        <w:spacing w:line="240" w:lineRule="auto"/>
        <w:ind w:left="0"/>
        <w:jc w:val="center"/>
        <w:rPr>
          <w:rFonts w:ascii="Times New Roman" w:hAnsi="Times New Roman" w:cs="Times New Roman"/>
          <w:b/>
          <w:sz w:val="24"/>
          <w:szCs w:val="24"/>
        </w:rPr>
      </w:pPr>
    </w:p>
    <w:p w14:paraId="7631F7A1" w14:textId="4FEA88B7" w:rsidR="0074498F" w:rsidRPr="007902AA" w:rsidRDefault="00B40B8C" w:rsidP="007902AA">
      <w:pPr>
        <w:pStyle w:val="Akapitzlist"/>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X</w:t>
      </w:r>
      <w:r w:rsidR="009B6591">
        <w:rPr>
          <w:rFonts w:ascii="Times New Roman" w:hAnsi="Times New Roman" w:cs="Times New Roman"/>
          <w:b/>
          <w:sz w:val="24"/>
          <w:szCs w:val="24"/>
        </w:rPr>
        <w:t>V</w:t>
      </w:r>
      <w:r w:rsidR="00E82E68">
        <w:rPr>
          <w:rFonts w:ascii="Times New Roman" w:hAnsi="Times New Roman" w:cs="Times New Roman"/>
          <w:b/>
          <w:sz w:val="24"/>
          <w:szCs w:val="24"/>
        </w:rPr>
        <w:t>.</w:t>
      </w:r>
      <w:r w:rsidR="008C1A69">
        <w:rPr>
          <w:rFonts w:ascii="Times New Roman" w:hAnsi="Times New Roman" w:cs="Times New Roman"/>
          <w:b/>
          <w:sz w:val="24"/>
          <w:szCs w:val="24"/>
        </w:rPr>
        <w:t xml:space="preserve"> </w:t>
      </w:r>
      <w:r w:rsidR="009348A0" w:rsidRPr="007902AA">
        <w:rPr>
          <w:rFonts w:ascii="Times New Roman" w:hAnsi="Times New Roman" w:cs="Times New Roman"/>
          <w:b/>
          <w:sz w:val="24"/>
          <w:szCs w:val="24"/>
        </w:rPr>
        <w:t>Z</w:t>
      </w:r>
      <w:r w:rsidR="00F772ED">
        <w:rPr>
          <w:rFonts w:ascii="Times New Roman" w:hAnsi="Times New Roman" w:cs="Times New Roman"/>
          <w:b/>
          <w:sz w:val="24"/>
          <w:szCs w:val="24"/>
        </w:rPr>
        <w:t>asady ustalania wynagrodzeń</w:t>
      </w:r>
      <w:r w:rsidR="0074498F" w:rsidRPr="007902AA">
        <w:rPr>
          <w:rFonts w:ascii="Times New Roman" w:hAnsi="Times New Roman" w:cs="Times New Roman"/>
          <w:b/>
          <w:sz w:val="24"/>
          <w:szCs w:val="24"/>
        </w:rPr>
        <w:t xml:space="preserve"> osób zajmujących stanowiska kierownicze w Banku.</w:t>
      </w:r>
    </w:p>
    <w:p w14:paraId="75F5C6DC" w14:textId="77777777" w:rsidR="00792260" w:rsidRPr="00AD7AF8" w:rsidRDefault="00792260" w:rsidP="00AD7AF8">
      <w:pPr>
        <w:pStyle w:val="Akapitzlist"/>
        <w:spacing w:line="240" w:lineRule="auto"/>
        <w:jc w:val="both"/>
        <w:rPr>
          <w:rFonts w:ascii="Times New Roman" w:hAnsi="Times New Roman" w:cs="Times New Roman"/>
          <w:b/>
        </w:rPr>
      </w:pPr>
    </w:p>
    <w:p w14:paraId="70DACAFF" w14:textId="77777777" w:rsidR="009348A0" w:rsidRPr="00AD7AF8" w:rsidRDefault="009348A0" w:rsidP="00AD7AF8">
      <w:pPr>
        <w:pStyle w:val="Akapitzlist"/>
        <w:spacing w:line="240" w:lineRule="auto"/>
        <w:ind w:left="0"/>
        <w:jc w:val="both"/>
        <w:rPr>
          <w:rFonts w:ascii="Times New Roman" w:hAnsi="Times New Roman" w:cs="Times New Roman"/>
        </w:rPr>
      </w:pPr>
      <w:r w:rsidRPr="00AD7AF8">
        <w:rPr>
          <w:rFonts w:ascii="Times New Roman" w:hAnsi="Times New Roman" w:cs="Times New Roman"/>
        </w:rPr>
        <w:t xml:space="preserve">Celem opracowania i wdrażania Polityki </w:t>
      </w:r>
      <w:r w:rsidR="00216967">
        <w:rPr>
          <w:rFonts w:ascii="Times New Roman" w:hAnsi="Times New Roman" w:cs="Times New Roman"/>
        </w:rPr>
        <w:t>wynagrodzeń</w:t>
      </w:r>
      <w:r w:rsidRPr="00AD7AF8">
        <w:rPr>
          <w:rFonts w:ascii="Times New Roman" w:hAnsi="Times New Roman" w:cs="Times New Roman"/>
        </w:rPr>
        <w:t xml:space="preserve"> osób zajmujących stanowiska kierownicze w Banku Spółdzielczym w Podegrodziu jest ustalenie zasad zmiennych składników wynagradzania osób zajmujących stanowiska kierownicze w Banku Spółdzielczym w Podegrodziu wymienionych w </w:t>
      </w:r>
      <w:r w:rsidR="005F14A1">
        <w:rPr>
          <w:rFonts w:ascii="Times New Roman" w:hAnsi="Times New Roman" w:cs="Times New Roman"/>
        </w:rPr>
        <w:t xml:space="preserve">§ 24 rozporządzenia Ministra Rozwoju i Finansów oraz w Rozporządzeniu 604/2014 Parlamentu Europejskiego i Rady (UE). </w:t>
      </w:r>
      <w:r w:rsidRPr="00AD7AF8">
        <w:rPr>
          <w:rFonts w:ascii="Times New Roman" w:hAnsi="Times New Roman" w:cs="Times New Roman"/>
        </w:rPr>
        <w:t>Zapisy polityki obejmują zmienne składniki wynagradzania rozu</w:t>
      </w:r>
      <w:r w:rsidR="005F14A1">
        <w:rPr>
          <w:rFonts w:ascii="Times New Roman" w:hAnsi="Times New Roman" w:cs="Times New Roman"/>
        </w:rPr>
        <w:t>miane jako premia uznaniowa</w:t>
      </w:r>
      <w:r w:rsidRPr="00AD7AF8">
        <w:rPr>
          <w:rFonts w:ascii="Times New Roman" w:hAnsi="Times New Roman" w:cs="Times New Roman"/>
        </w:rPr>
        <w:t xml:space="preserve">. </w:t>
      </w:r>
      <w:r w:rsidR="005F14A1">
        <w:rPr>
          <w:rFonts w:ascii="Times New Roman" w:hAnsi="Times New Roman" w:cs="Times New Roman"/>
        </w:rPr>
        <w:t xml:space="preserve">Do stanowisk </w:t>
      </w:r>
      <w:r w:rsidR="000A0829">
        <w:rPr>
          <w:rFonts w:ascii="Times New Roman" w:hAnsi="Times New Roman" w:cs="Times New Roman"/>
        </w:rPr>
        <w:t>istotnych w Banku zalicza się: Członków Rady Nadzorczej, Członków Zarządu, Głównego Księgowego. Z uwagi na fakt, iż Bank nie udziela kredytów przekraczających 5 mln EURO oraz Bank nie posiada jednostek istotnych w rozumieniu Rozporządzenia 575/2016 PE, do stanowisk istotnych nie zalicza się innych stanowisk.</w:t>
      </w:r>
    </w:p>
    <w:p w14:paraId="14AA9A31" w14:textId="1E4F40AB" w:rsidR="00BC37A3" w:rsidRDefault="00B340F6" w:rsidP="00D4791C">
      <w:pPr>
        <w:pStyle w:val="Akapitzlist"/>
        <w:spacing w:line="240" w:lineRule="auto"/>
        <w:ind w:left="0"/>
        <w:jc w:val="both"/>
        <w:rPr>
          <w:rFonts w:ascii="Times New Roman" w:hAnsi="Times New Roman" w:cs="Times New Roman"/>
        </w:rPr>
      </w:pPr>
      <w:r w:rsidRPr="00AD7AF8">
        <w:rPr>
          <w:rFonts w:ascii="Times New Roman" w:hAnsi="Times New Roman" w:cs="Times New Roman"/>
        </w:rPr>
        <w:t>Osobom zajmującym stanowiska kierownicze przysługuje premia uznaniowa (wynagrodzenie zmienne) której wysokość określa Regulamin wynagradzania pracowników banku. Łączna kwota</w:t>
      </w:r>
      <w:r w:rsidR="0047713B">
        <w:rPr>
          <w:rFonts w:ascii="Times New Roman" w:hAnsi="Times New Roman" w:cs="Times New Roman"/>
        </w:rPr>
        <w:t xml:space="preserve"> wypłaconych zmiennych składników wynagradzania osobom zajmującym stanowiska istotne w Banku za dany rok nie może spowodować obniżenia wyniku finansowego do poziomu, który nie zapewni realnego przyrostu funduszy własnych Banku oraz budowy bezpiecznej bazy kapitałowej. Wysokości zmiennych składników </w:t>
      </w:r>
      <w:r w:rsidR="0047713B">
        <w:rPr>
          <w:rFonts w:ascii="Times New Roman" w:hAnsi="Times New Roman" w:cs="Times New Roman"/>
        </w:rPr>
        <w:lastRenderedPageBreak/>
        <w:t xml:space="preserve">wynagradzania nie może być wyższa niż 100% wynagrodzenia zasadniczego osób zajmujących </w:t>
      </w:r>
      <w:r w:rsidR="007C5E0E">
        <w:rPr>
          <w:rFonts w:ascii="Times New Roman" w:hAnsi="Times New Roman" w:cs="Times New Roman"/>
        </w:rPr>
        <w:t>istotne stanowiska, a wynagrodzenie zasadnicze powinno mieć taką wysokość, aby Bank mógł prowadzić elastyczną politykę wynagrodzeń w zakresie zmiennych składników.</w:t>
      </w:r>
      <w:r w:rsidR="00692E9E" w:rsidRPr="00692E9E">
        <w:rPr>
          <w:rFonts w:ascii="Times New Roman" w:hAnsi="Times New Roman" w:cs="Times New Roman"/>
        </w:rPr>
        <w:t xml:space="preserve"> </w:t>
      </w:r>
      <w:r w:rsidR="00692E9E" w:rsidRPr="00620BD9">
        <w:rPr>
          <w:rFonts w:ascii="Times New Roman" w:hAnsi="Times New Roman" w:cs="Times New Roman"/>
        </w:rPr>
        <w:t xml:space="preserve">W </w:t>
      </w:r>
      <w:r w:rsidR="00317F8D" w:rsidRPr="00620BD9">
        <w:rPr>
          <w:rFonts w:ascii="Times New Roman" w:hAnsi="Times New Roman" w:cs="Times New Roman"/>
        </w:rPr>
        <w:t>201</w:t>
      </w:r>
      <w:r w:rsidR="00C1637A">
        <w:rPr>
          <w:rFonts w:ascii="Times New Roman" w:hAnsi="Times New Roman" w:cs="Times New Roman"/>
        </w:rPr>
        <w:t>9</w:t>
      </w:r>
      <w:r w:rsidR="00692E9E" w:rsidRPr="00620BD9">
        <w:rPr>
          <w:rFonts w:ascii="Times New Roman" w:hAnsi="Times New Roman" w:cs="Times New Roman"/>
        </w:rPr>
        <w:t xml:space="preserve"> roku </w:t>
      </w:r>
      <w:r w:rsidR="007C5E0E">
        <w:rPr>
          <w:rFonts w:ascii="Times New Roman" w:hAnsi="Times New Roman" w:cs="Times New Roman"/>
        </w:rPr>
        <w:t xml:space="preserve">osobom zajmującym istotne stanowiska </w:t>
      </w:r>
      <w:r w:rsidR="00C1637A">
        <w:rPr>
          <w:rFonts w:ascii="Times New Roman" w:hAnsi="Times New Roman" w:cs="Times New Roman"/>
        </w:rPr>
        <w:t>wypłacona premia uznaniowa stanowiła 5,3% wyniku brutto banku.</w:t>
      </w:r>
    </w:p>
    <w:p w14:paraId="6FE9FF86" w14:textId="77777777" w:rsidR="007C5E0E" w:rsidRDefault="007C5E0E" w:rsidP="00D4791C">
      <w:pPr>
        <w:pStyle w:val="Akapitzlist"/>
        <w:spacing w:line="240" w:lineRule="auto"/>
        <w:ind w:left="0"/>
        <w:jc w:val="both"/>
        <w:rPr>
          <w:rFonts w:ascii="Times New Roman" w:hAnsi="Times New Roman" w:cs="Times New Roman"/>
        </w:rPr>
      </w:pPr>
      <w:r>
        <w:rPr>
          <w:rFonts w:ascii="Times New Roman" w:hAnsi="Times New Roman" w:cs="Times New Roman"/>
        </w:rPr>
        <w:t>W Banku nie został powołany Komitet do spraw wynagrodzeń.</w:t>
      </w:r>
    </w:p>
    <w:p w14:paraId="738BBA3B" w14:textId="77777777" w:rsidR="00B40B8C" w:rsidRPr="00620BD9" w:rsidRDefault="00B40B8C" w:rsidP="00D4791C">
      <w:pPr>
        <w:pStyle w:val="Akapitzlist"/>
        <w:spacing w:line="240" w:lineRule="auto"/>
        <w:ind w:left="0"/>
        <w:jc w:val="both"/>
        <w:rPr>
          <w:rFonts w:ascii="Times New Roman" w:hAnsi="Times New Roman" w:cs="Times New Roman"/>
        </w:rPr>
      </w:pPr>
    </w:p>
    <w:p w14:paraId="3BC33D57" w14:textId="77777777" w:rsidR="00792260" w:rsidRPr="00AD7AF8" w:rsidRDefault="00792260" w:rsidP="00AD7AF8">
      <w:pPr>
        <w:pStyle w:val="Akapitzlist"/>
        <w:spacing w:line="240" w:lineRule="auto"/>
        <w:jc w:val="both"/>
        <w:rPr>
          <w:rFonts w:ascii="Times New Roman" w:hAnsi="Times New Roman" w:cs="Times New Roman"/>
        </w:rPr>
      </w:pPr>
    </w:p>
    <w:p w14:paraId="4C150C25" w14:textId="52745CE6" w:rsidR="00E5422B" w:rsidRDefault="009B6591" w:rsidP="00E82E68">
      <w:pPr>
        <w:pStyle w:val="Akapitzlist"/>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X</w:t>
      </w:r>
      <w:r w:rsidR="00E82E68">
        <w:rPr>
          <w:rFonts w:ascii="Times New Roman" w:hAnsi="Times New Roman" w:cs="Times New Roman"/>
          <w:b/>
          <w:sz w:val="24"/>
          <w:szCs w:val="24"/>
        </w:rPr>
        <w:t>V</w:t>
      </w:r>
      <w:r w:rsidR="00B40B8C">
        <w:rPr>
          <w:rFonts w:ascii="Times New Roman" w:hAnsi="Times New Roman" w:cs="Times New Roman"/>
          <w:b/>
          <w:sz w:val="24"/>
          <w:szCs w:val="24"/>
        </w:rPr>
        <w:t>I</w:t>
      </w:r>
      <w:r w:rsidR="00E82E68">
        <w:rPr>
          <w:rFonts w:ascii="Times New Roman" w:hAnsi="Times New Roman" w:cs="Times New Roman"/>
          <w:b/>
          <w:sz w:val="24"/>
          <w:szCs w:val="24"/>
        </w:rPr>
        <w:t>.</w:t>
      </w:r>
      <w:r w:rsidR="00E5422B" w:rsidRPr="00E82E68">
        <w:rPr>
          <w:rFonts w:ascii="Times New Roman" w:hAnsi="Times New Roman" w:cs="Times New Roman"/>
          <w:b/>
          <w:sz w:val="24"/>
          <w:szCs w:val="24"/>
        </w:rPr>
        <w:t xml:space="preserve"> Informacja </w:t>
      </w:r>
      <w:r w:rsidR="00CD7739">
        <w:rPr>
          <w:rFonts w:ascii="Times New Roman" w:hAnsi="Times New Roman" w:cs="Times New Roman"/>
          <w:b/>
          <w:sz w:val="24"/>
          <w:szCs w:val="24"/>
        </w:rPr>
        <w:t>z zakresu</w:t>
      </w:r>
      <w:r w:rsidR="00E5422B" w:rsidRPr="00E82E68">
        <w:rPr>
          <w:rFonts w:ascii="Times New Roman" w:hAnsi="Times New Roman" w:cs="Times New Roman"/>
          <w:b/>
          <w:sz w:val="24"/>
          <w:szCs w:val="24"/>
        </w:rPr>
        <w:t xml:space="preserve"> ryzyka operacyjnego</w:t>
      </w:r>
    </w:p>
    <w:p w14:paraId="5E7FC39A" w14:textId="77777777" w:rsidR="00E82E68" w:rsidRPr="00E82E68" w:rsidRDefault="00E82E68" w:rsidP="00E82E68">
      <w:pPr>
        <w:pStyle w:val="Akapitzlist"/>
        <w:spacing w:line="240" w:lineRule="auto"/>
        <w:ind w:left="0"/>
        <w:jc w:val="center"/>
        <w:rPr>
          <w:rFonts w:ascii="Times New Roman" w:hAnsi="Times New Roman" w:cs="Times New Roman"/>
          <w:b/>
          <w:sz w:val="24"/>
          <w:szCs w:val="24"/>
        </w:rPr>
      </w:pPr>
    </w:p>
    <w:p w14:paraId="667FD4D1" w14:textId="002559CD" w:rsidR="00F772ED" w:rsidRDefault="007C5E0E" w:rsidP="00AD7AF8">
      <w:pPr>
        <w:pStyle w:val="Akapitzlist"/>
        <w:spacing w:line="240" w:lineRule="auto"/>
        <w:ind w:left="0"/>
        <w:jc w:val="both"/>
        <w:rPr>
          <w:rFonts w:ascii="Times New Roman" w:hAnsi="Times New Roman" w:cs="Times New Roman"/>
        </w:rPr>
      </w:pPr>
      <w:r>
        <w:rPr>
          <w:rFonts w:ascii="Times New Roman" w:hAnsi="Times New Roman" w:cs="Times New Roman"/>
        </w:rPr>
        <w:t>Na dzień 31.12.</w:t>
      </w:r>
      <w:r w:rsidR="00EB262E">
        <w:rPr>
          <w:rFonts w:ascii="Times New Roman" w:hAnsi="Times New Roman" w:cs="Times New Roman"/>
        </w:rPr>
        <w:t>201</w:t>
      </w:r>
      <w:r w:rsidR="00C1637A">
        <w:rPr>
          <w:rFonts w:ascii="Times New Roman" w:hAnsi="Times New Roman" w:cs="Times New Roman"/>
        </w:rPr>
        <w:t>9</w:t>
      </w:r>
      <w:r w:rsidR="00EB262E">
        <w:rPr>
          <w:rFonts w:ascii="Times New Roman" w:hAnsi="Times New Roman" w:cs="Times New Roman"/>
        </w:rPr>
        <w:t xml:space="preserve"> </w:t>
      </w:r>
      <w:r w:rsidR="00D4791C">
        <w:rPr>
          <w:rFonts w:ascii="Times New Roman" w:hAnsi="Times New Roman" w:cs="Times New Roman"/>
        </w:rPr>
        <w:t xml:space="preserve">w </w:t>
      </w:r>
      <w:r w:rsidR="00C00F94">
        <w:rPr>
          <w:rFonts w:ascii="Times New Roman" w:hAnsi="Times New Roman" w:cs="Times New Roman"/>
        </w:rPr>
        <w:t>Bank</w:t>
      </w:r>
      <w:r w:rsidR="00D4791C">
        <w:rPr>
          <w:rFonts w:ascii="Times New Roman" w:hAnsi="Times New Roman" w:cs="Times New Roman"/>
        </w:rPr>
        <w:t>u pracowało 2</w:t>
      </w:r>
      <w:r w:rsidR="005D195B">
        <w:rPr>
          <w:rFonts w:ascii="Times New Roman" w:hAnsi="Times New Roman" w:cs="Times New Roman"/>
        </w:rPr>
        <w:t>4 pracowników</w:t>
      </w:r>
      <w:r w:rsidR="00CD7739">
        <w:rPr>
          <w:rFonts w:ascii="Times New Roman" w:hAnsi="Times New Roman" w:cs="Times New Roman"/>
        </w:rPr>
        <w:t>. Koszty z tytułu zatrudnienia</w:t>
      </w:r>
      <w:r w:rsidR="00005493">
        <w:rPr>
          <w:rFonts w:ascii="Times New Roman" w:hAnsi="Times New Roman" w:cs="Times New Roman"/>
        </w:rPr>
        <w:t xml:space="preserve">, łącznie z kosztami ubezpieczenia </w:t>
      </w:r>
      <w:r w:rsidR="00CD7739">
        <w:rPr>
          <w:rFonts w:ascii="Times New Roman" w:hAnsi="Times New Roman" w:cs="Times New Roman"/>
        </w:rPr>
        <w:t xml:space="preserve"> wyniosły </w:t>
      </w:r>
      <w:r w:rsidR="00317F8D">
        <w:rPr>
          <w:rFonts w:ascii="Times New Roman" w:hAnsi="Times New Roman" w:cs="Times New Roman"/>
        </w:rPr>
        <w:t xml:space="preserve">1 </w:t>
      </w:r>
      <w:r w:rsidR="00607AC5">
        <w:rPr>
          <w:rFonts w:ascii="Times New Roman" w:hAnsi="Times New Roman" w:cs="Times New Roman"/>
        </w:rPr>
        <w:t>820</w:t>
      </w:r>
      <w:r w:rsidR="00CD7739">
        <w:rPr>
          <w:rFonts w:ascii="Times New Roman" w:hAnsi="Times New Roman" w:cs="Times New Roman"/>
        </w:rPr>
        <w:t xml:space="preserve"> ty</w:t>
      </w:r>
      <w:r w:rsidR="00317F8D">
        <w:rPr>
          <w:rFonts w:ascii="Times New Roman" w:hAnsi="Times New Roman" w:cs="Times New Roman"/>
        </w:rPr>
        <w:t xml:space="preserve"> zł, co stanowiło </w:t>
      </w:r>
      <w:r w:rsidR="00607AC5">
        <w:rPr>
          <w:rFonts w:ascii="Times New Roman" w:hAnsi="Times New Roman" w:cs="Times New Roman"/>
        </w:rPr>
        <w:t>73</w:t>
      </w:r>
      <w:r w:rsidR="00F772ED">
        <w:rPr>
          <w:rFonts w:ascii="Times New Roman" w:hAnsi="Times New Roman" w:cs="Times New Roman"/>
        </w:rPr>
        <w:t>% kosztów działania Banku or</w:t>
      </w:r>
      <w:r w:rsidR="00317F8D">
        <w:rPr>
          <w:rFonts w:ascii="Times New Roman" w:hAnsi="Times New Roman" w:cs="Times New Roman"/>
        </w:rPr>
        <w:t xml:space="preserve">az </w:t>
      </w:r>
      <w:r w:rsidR="00D402AF">
        <w:rPr>
          <w:rFonts w:ascii="Times New Roman" w:hAnsi="Times New Roman" w:cs="Times New Roman"/>
        </w:rPr>
        <w:t>53</w:t>
      </w:r>
      <w:r w:rsidR="00F772ED">
        <w:rPr>
          <w:rFonts w:ascii="Times New Roman" w:hAnsi="Times New Roman" w:cs="Times New Roman"/>
        </w:rPr>
        <w:t xml:space="preserve">% wyniku z działalności bankowej. </w:t>
      </w:r>
    </w:p>
    <w:p w14:paraId="51144904" w14:textId="77777777" w:rsidR="000E36DA" w:rsidRPr="00AD7AF8" w:rsidRDefault="000E36DA" w:rsidP="00AD7AF8">
      <w:pPr>
        <w:pStyle w:val="Akapitzlist"/>
        <w:spacing w:line="240" w:lineRule="auto"/>
        <w:ind w:left="0"/>
        <w:jc w:val="both"/>
        <w:rPr>
          <w:rFonts w:ascii="Times New Roman" w:hAnsi="Times New Roman" w:cs="Times New Roman"/>
        </w:rPr>
      </w:pPr>
      <w:r w:rsidRPr="00AD7AF8">
        <w:rPr>
          <w:rFonts w:ascii="Times New Roman" w:hAnsi="Times New Roman" w:cs="Times New Roman"/>
        </w:rPr>
        <w:t>W Banku występuje podział zdarzeń ry</w:t>
      </w:r>
      <w:r w:rsidR="006052D1" w:rsidRPr="00AD7AF8">
        <w:rPr>
          <w:rFonts w:ascii="Times New Roman" w:hAnsi="Times New Roman" w:cs="Times New Roman"/>
        </w:rPr>
        <w:t>z</w:t>
      </w:r>
      <w:r w:rsidRPr="00AD7AF8">
        <w:rPr>
          <w:rFonts w:ascii="Times New Roman" w:hAnsi="Times New Roman" w:cs="Times New Roman"/>
        </w:rPr>
        <w:t xml:space="preserve">yka operacyjnego </w:t>
      </w:r>
      <w:r w:rsidR="006052D1" w:rsidRPr="00AD7AF8">
        <w:rPr>
          <w:rFonts w:ascii="Times New Roman" w:hAnsi="Times New Roman" w:cs="Times New Roman"/>
        </w:rPr>
        <w:t>na następujące rodzaje zdarzeń:</w:t>
      </w:r>
    </w:p>
    <w:p w14:paraId="1241F84C" w14:textId="77777777" w:rsidR="006052D1" w:rsidRPr="00AD7AF8" w:rsidRDefault="006052D1" w:rsidP="009A6274">
      <w:pPr>
        <w:pStyle w:val="Akapitzlist"/>
        <w:numPr>
          <w:ilvl w:val="0"/>
          <w:numId w:val="11"/>
        </w:numPr>
        <w:spacing w:line="240" w:lineRule="auto"/>
        <w:jc w:val="both"/>
        <w:rPr>
          <w:rFonts w:ascii="Times New Roman" w:hAnsi="Times New Roman" w:cs="Times New Roman"/>
        </w:rPr>
      </w:pPr>
      <w:r w:rsidRPr="00AD7AF8">
        <w:rPr>
          <w:rFonts w:ascii="Times New Roman" w:hAnsi="Times New Roman" w:cs="Times New Roman"/>
        </w:rPr>
        <w:t>oszustwa wewnętrzne;</w:t>
      </w:r>
    </w:p>
    <w:p w14:paraId="07DF26EC" w14:textId="77777777" w:rsidR="006052D1" w:rsidRPr="00AD7AF8" w:rsidRDefault="006052D1" w:rsidP="009A6274">
      <w:pPr>
        <w:pStyle w:val="Akapitzlist"/>
        <w:numPr>
          <w:ilvl w:val="0"/>
          <w:numId w:val="11"/>
        </w:numPr>
        <w:spacing w:line="240" w:lineRule="auto"/>
        <w:jc w:val="both"/>
        <w:rPr>
          <w:rFonts w:ascii="Times New Roman" w:hAnsi="Times New Roman" w:cs="Times New Roman"/>
        </w:rPr>
      </w:pPr>
      <w:r w:rsidRPr="00AD7AF8">
        <w:rPr>
          <w:rFonts w:ascii="Times New Roman" w:hAnsi="Times New Roman" w:cs="Times New Roman"/>
        </w:rPr>
        <w:t>oszustwa wewnętrzne;</w:t>
      </w:r>
    </w:p>
    <w:p w14:paraId="16E4DEC3" w14:textId="77777777" w:rsidR="006052D1" w:rsidRPr="00AD7AF8" w:rsidRDefault="006052D1" w:rsidP="009A6274">
      <w:pPr>
        <w:pStyle w:val="Akapitzlist"/>
        <w:numPr>
          <w:ilvl w:val="0"/>
          <w:numId w:val="11"/>
        </w:numPr>
        <w:spacing w:line="240" w:lineRule="auto"/>
        <w:jc w:val="both"/>
        <w:rPr>
          <w:rFonts w:ascii="Times New Roman" w:hAnsi="Times New Roman" w:cs="Times New Roman"/>
        </w:rPr>
      </w:pPr>
      <w:r w:rsidRPr="00AD7AF8">
        <w:rPr>
          <w:rFonts w:ascii="Times New Roman" w:hAnsi="Times New Roman" w:cs="Times New Roman"/>
        </w:rPr>
        <w:t>praktyka kadrowa i bezpieczeństwo pracy;</w:t>
      </w:r>
    </w:p>
    <w:p w14:paraId="6542AD10" w14:textId="77777777" w:rsidR="006052D1" w:rsidRPr="00AD7AF8" w:rsidRDefault="006052D1" w:rsidP="009A6274">
      <w:pPr>
        <w:pStyle w:val="Akapitzlist"/>
        <w:numPr>
          <w:ilvl w:val="0"/>
          <w:numId w:val="11"/>
        </w:numPr>
        <w:spacing w:line="240" w:lineRule="auto"/>
        <w:jc w:val="both"/>
        <w:rPr>
          <w:rFonts w:ascii="Times New Roman" w:hAnsi="Times New Roman" w:cs="Times New Roman"/>
        </w:rPr>
      </w:pPr>
      <w:r w:rsidRPr="00AD7AF8">
        <w:rPr>
          <w:rFonts w:ascii="Times New Roman" w:hAnsi="Times New Roman" w:cs="Times New Roman"/>
        </w:rPr>
        <w:t>klienci, produkty i praktyka biznesowa;</w:t>
      </w:r>
    </w:p>
    <w:p w14:paraId="49F630EE" w14:textId="77777777" w:rsidR="006052D1" w:rsidRPr="00AD7AF8" w:rsidRDefault="006052D1" w:rsidP="009A6274">
      <w:pPr>
        <w:pStyle w:val="Akapitzlist"/>
        <w:numPr>
          <w:ilvl w:val="0"/>
          <w:numId w:val="11"/>
        </w:numPr>
        <w:spacing w:line="240" w:lineRule="auto"/>
        <w:jc w:val="both"/>
        <w:rPr>
          <w:rFonts w:ascii="Times New Roman" w:hAnsi="Times New Roman" w:cs="Times New Roman"/>
        </w:rPr>
      </w:pPr>
      <w:r w:rsidRPr="00AD7AF8">
        <w:rPr>
          <w:rFonts w:ascii="Times New Roman" w:hAnsi="Times New Roman" w:cs="Times New Roman"/>
        </w:rPr>
        <w:t>uszkodzenia aktywów;</w:t>
      </w:r>
    </w:p>
    <w:p w14:paraId="04BFE671" w14:textId="77777777" w:rsidR="006052D1" w:rsidRPr="00AD7AF8" w:rsidRDefault="006052D1" w:rsidP="009A6274">
      <w:pPr>
        <w:pStyle w:val="Akapitzlist"/>
        <w:numPr>
          <w:ilvl w:val="0"/>
          <w:numId w:val="11"/>
        </w:numPr>
        <w:spacing w:line="240" w:lineRule="auto"/>
        <w:jc w:val="both"/>
        <w:rPr>
          <w:rFonts w:ascii="Times New Roman" w:hAnsi="Times New Roman" w:cs="Times New Roman"/>
        </w:rPr>
      </w:pPr>
      <w:r w:rsidRPr="00AD7AF8">
        <w:rPr>
          <w:rFonts w:ascii="Times New Roman" w:hAnsi="Times New Roman" w:cs="Times New Roman"/>
        </w:rPr>
        <w:t>zakłócenia działalności i błędy systemów;</w:t>
      </w:r>
    </w:p>
    <w:p w14:paraId="50F83792" w14:textId="77777777" w:rsidR="006052D1" w:rsidRPr="00AD7AF8" w:rsidRDefault="006052D1" w:rsidP="009A6274">
      <w:pPr>
        <w:pStyle w:val="Akapitzlist"/>
        <w:numPr>
          <w:ilvl w:val="0"/>
          <w:numId w:val="11"/>
        </w:numPr>
        <w:spacing w:line="240" w:lineRule="auto"/>
        <w:jc w:val="both"/>
        <w:rPr>
          <w:rFonts w:ascii="Times New Roman" w:hAnsi="Times New Roman" w:cs="Times New Roman"/>
        </w:rPr>
      </w:pPr>
      <w:r w:rsidRPr="00AD7AF8">
        <w:rPr>
          <w:rFonts w:ascii="Times New Roman" w:hAnsi="Times New Roman" w:cs="Times New Roman"/>
        </w:rPr>
        <w:t>dokonywanie transakcji, dostawa oraz zarządzanie procesami.</w:t>
      </w:r>
    </w:p>
    <w:p w14:paraId="5D78B08F" w14:textId="77777777" w:rsidR="00390B6D" w:rsidRPr="005C2CE0" w:rsidRDefault="00390B6D" w:rsidP="00390B6D">
      <w:pPr>
        <w:jc w:val="both"/>
        <w:rPr>
          <w:rFonts w:ascii="Times New Roman" w:hAnsi="Times New Roman" w:cs="Times New Roman"/>
          <w:b/>
          <w:bCs/>
        </w:rPr>
      </w:pPr>
      <w:r w:rsidRPr="005C2CE0">
        <w:rPr>
          <w:rFonts w:ascii="Times New Roman" w:hAnsi="Times New Roman" w:cs="Times New Roman"/>
          <w:b/>
          <w:bCs/>
        </w:rPr>
        <w:t>Kradzież i oszustwa</w:t>
      </w:r>
      <w:r w:rsidR="005C2CE0">
        <w:rPr>
          <w:rFonts w:ascii="Times New Roman" w:hAnsi="Times New Roman" w:cs="Times New Roman"/>
          <w:b/>
          <w:bCs/>
        </w:rPr>
        <w:t>:</w:t>
      </w:r>
    </w:p>
    <w:p w14:paraId="7A1A3397" w14:textId="028D9FB5" w:rsidR="00390B6D" w:rsidRPr="005C2CE0" w:rsidRDefault="00390B6D" w:rsidP="00390B6D">
      <w:pPr>
        <w:jc w:val="both"/>
        <w:rPr>
          <w:rFonts w:ascii="Times New Roman" w:hAnsi="Times New Roman" w:cs="Times New Roman"/>
        </w:rPr>
      </w:pPr>
      <w:r w:rsidRPr="005C2CE0">
        <w:rPr>
          <w:rFonts w:ascii="Times New Roman" w:hAnsi="Times New Roman" w:cs="Times New Roman"/>
        </w:rPr>
        <w:t xml:space="preserve"> W 201</w:t>
      </w:r>
      <w:r w:rsidR="00D402AF">
        <w:rPr>
          <w:rFonts w:ascii="Times New Roman" w:hAnsi="Times New Roman" w:cs="Times New Roman"/>
        </w:rPr>
        <w:t>9</w:t>
      </w:r>
      <w:r w:rsidRPr="005C2CE0">
        <w:rPr>
          <w:rFonts w:ascii="Times New Roman" w:hAnsi="Times New Roman" w:cs="Times New Roman"/>
        </w:rPr>
        <w:t>r. nie wystąpiły takie zdarzenia jak kradzieże, rabunki, fałszerstwa, oszustwa czekowe oraz kartowe. Nie zanotowano zdarzeń związanych z praniem pieniędzy.</w:t>
      </w:r>
    </w:p>
    <w:p w14:paraId="5A3A194C" w14:textId="77777777" w:rsidR="00390B6D" w:rsidRPr="005C2CE0" w:rsidRDefault="00390B6D" w:rsidP="00390B6D">
      <w:pPr>
        <w:jc w:val="both"/>
        <w:rPr>
          <w:rFonts w:ascii="Times New Roman" w:hAnsi="Times New Roman" w:cs="Times New Roman"/>
          <w:bCs/>
        </w:rPr>
      </w:pPr>
      <w:r w:rsidRPr="005C2CE0">
        <w:rPr>
          <w:rFonts w:ascii="Times New Roman" w:hAnsi="Times New Roman" w:cs="Times New Roman"/>
          <w:b/>
          <w:bCs/>
        </w:rPr>
        <w:t>Bezpieczeństwo systemów</w:t>
      </w:r>
      <w:r w:rsidR="005C2CE0">
        <w:rPr>
          <w:rFonts w:ascii="Times New Roman" w:hAnsi="Times New Roman" w:cs="Times New Roman"/>
          <w:b/>
          <w:bCs/>
        </w:rPr>
        <w:t>:</w:t>
      </w:r>
    </w:p>
    <w:p w14:paraId="01E952C1" w14:textId="77777777" w:rsidR="006C4397" w:rsidRDefault="00390B6D" w:rsidP="00620BD9">
      <w:pPr>
        <w:spacing w:line="240" w:lineRule="auto"/>
        <w:jc w:val="both"/>
        <w:rPr>
          <w:rFonts w:ascii="Times New Roman" w:hAnsi="Times New Roman" w:cs="Times New Roman"/>
          <w:bCs/>
        </w:rPr>
      </w:pPr>
      <w:r w:rsidRPr="005C2CE0">
        <w:rPr>
          <w:rFonts w:ascii="Times New Roman" w:hAnsi="Times New Roman" w:cs="Times New Roman"/>
          <w:bCs/>
        </w:rPr>
        <w:t xml:space="preserve">Pracownicy firmy </w:t>
      </w:r>
      <w:r w:rsidR="005C2CE0">
        <w:rPr>
          <w:rFonts w:ascii="Times New Roman" w:hAnsi="Times New Roman" w:cs="Times New Roman"/>
          <w:bCs/>
        </w:rPr>
        <w:t>SoftNet przeprowadzali</w:t>
      </w:r>
      <w:r w:rsidRPr="005C2CE0">
        <w:rPr>
          <w:rFonts w:ascii="Times New Roman" w:hAnsi="Times New Roman" w:cs="Times New Roman"/>
          <w:bCs/>
        </w:rPr>
        <w:t xml:space="preserve"> kontrolę serwisową i dokonali bieżących uzupełnień z czego został sporządzony raport.</w:t>
      </w:r>
      <w:r w:rsidR="006C4397">
        <w:rPr>
          <w:rFonts w:ascii="Times New Roman" w:hAnsi="Times New Roman" w:cs="Times New Roman"/>
          <w:bCs/>
        </w:rPr>
        <w:t xml:space="preserve"> </w:t>
      </w:r>
    </w:p>
    <w:p w14:paraId="6F1856EE" w14:textId="77777777" w:rsidR="00390B6D" w:rsidRPr="005C2CE0" w:rsidRDefault="00390B6D" w:rsidP="00620BD9">
      <w:pPr>
        <w:spacing w:line="240" w:lineRule="auto"/>
        <w:jc w:val="both"/>
      </w:pPr>
      <w:r w:rsidRPr="005C2CE0">
        <w:rPr>
          <w:rFonts w:ascii="Times New Roman" w:hAnsi="Times New Roman" w:cs="Times New Roman"/>
          <w:bCs/>
        </w:rPr>
        <w:t>Nie zanotowano spraw spornych  skutkujących dodatkowymi obciążeniami finansowymi takich jak odszkodowanie czy odsetki karne.</w:t>
      </w:r>
    </w:p>
    <w:p w14:paraId="13CBD7BC" w14:textId="77777777" w:rsidR="00390B6D" w:rsidRPr="005C2CE0" w:rsidRDefault="00390B6D" w:rsidP="00620BD9">
      <w:pPr>
        <w:pStyle w:val="Tekstpodstawowy"/>
        <w:spacing w:after="0"/>
        <w:jc w:val="both"/>
        <w:rPr>
          <w:sz w:val="22"/>
          <w:szCs w:val="22"/>
        </w:rPr>
      </w:pPr>
      <w:r w:rsidRPr="005C2CE0">
        <w:rPr>
          <w:sz w:val="22"/>
          <w:szCs w:val="22"/>
        </w:rPr>
        <w:t>Na podstawie codziennych raportów systemu eBankNet przesyłanych kwartalnie przez firmę SoftNet nie stwierdzono udanego ataku na serwer WWW oraz aplikację bankowości internetowej (eBankNet).</w:t>
      </w:r>
    </w:p>
    <w:p w14:paraId="0E2007AA" w14:textId="77777777" w:rsidR="00390B6D" w:rsidRPr="005C2CE0" w:rsidRDefault="00390B6D" w:rsidP="00620BD9">
      <w:pPr>
        <w:pStyle w:val="Tekstpodstawowy"/>
        <w:spacing w:after="0"/>
        <w:jc w:val="both"/>
        <w:rPr>
          <w:sz w:val="22"/>
          <w:szCs w:val="22"/>
        </w:rPr>
      </w:pPr>
      <w:r w:rsidRPr="005C2CE0">
        <w:rPr>
          <w:sz w:val="22"/>
          <w:szCs w:val="22"/>
        </w:rPr>
        <w:t>Podczas analizy zdarzeń w systemach teleinformatycznych poddano analizie logi dostępnych systemów kontroli:</w:t>
      </w:r>
    </w:p>
    <w:p w14:paraId="7DD2B95B" w14:textId="77777777" w:rsidR="00390B6D" w:rsidRPr="005C2CE0" w:rsidRDefault="00620BD9" w:rsidP="00620BD9">
      <w:pPr>
        <w:pStyle w:val="Tekstpodstawowy"/>
        <w:spacing w:after="0"/>
        <w:jc w:val="both"/>
        <w:rPr>
          <w:sz w:val="22"/>
          <w:szCs w:val="22"/>
        </w:rPr>
      </w:pPr>
      <w:r>
        <w:rPr>
          <w:sz w:val="22"/>
          <w:szCs w:val="22"/>
        </w:rPr>
        <w:t xml:space="preserve">- </w:t>
      </w:r>
      <w:r w:rsidR="00390B6D" w:rsidRPr="005C2CE0">
        <w:rPr>
          <w:sz w:val="22"/>
          <w:szCs w:val="22"/>
        </w:rPr>
        <w:t>analizując logi systemu antywirusowego ESET Nod32 BE, który zabezpiecza komputery nie stwierdzono zagrożenia wynikającego z niepożądanego oprogramowania;</w:t>
      </w:r>
    </w:p>
    <w:p w14:paraId="181DC588" w14:textId="77777777" w:rsidR="00390B6D" w:rsidRPr="005C2CE0" w:rsidRDefault="00620BD9" w:rsidP="00620BD9">
      <w:pPr>
        <w:pStyle w:val="Tekstpodstawowy"/>
        <w:spacing w:after="0"/>
        <w:jc w:val="both"/>
        <w:rPr>
          <w:sz w:val="22"/>
          <w:szCs w:val="22"/>
        </w:rPr>
      </w:pPr>
      <w:r>
        <w:rPr>
          <w:sz w:val="22"/>
          <w:szCs w:val="22"/>
        </w:rPr>
        <w:t xml:space="preserve"> - </w:t>
      </w:r>
      <w:r w:rsidR="00390B6D" w:rsidRPr="005C2CE0">
        <w:rPr>
          <w:sz w:val="22"/>
          <w:szCs w:val="22"/>
        </w:rPr>
        <w:t>analizując logi systemu bankowego księgowo/domenowego:</w:t>
      </w:r>
    </w:p>
    <w:p w14:paraId="492FB46B" w14:textId="77777777" w:rsidR="00390B6D" w:rsidRPr="005C2CE0" w:rsidRDefault="00F31983" w:rsidP="00620BD9">
      <w:pPr>
        <w:pStyle w:val="Tekstpodstawowy"/>
        <w:spacing w:after="0"/>
        <w:ind w:left="567"/>
        <w:jc w:val="both"/>
        <w:rPr>
          <w:sz w:val="22"/>
          <w:szCs w:val="22"/>
        </w:rPr>
      </w:pPr>
      <w:r>
        <w:rPr>
          <w:sz w:val="22"/>
          <w:szCs w:val="22"/>
        </w:rPr>
        <w:t xml:space="preserve">-  </w:t>
      </w:r>
      <w:r w:rsidR="00390B6D" w:rsidRPr="005C2CE0">
        <w:rPr>
          <w:sz w:val="22"/>
          <w:szCs w:val="22"/>
        </w:rPr>
        <w:t>nie stwierdzono włamań do danych przez osoby nieuprawnione,</w:t>
      </w:r>
    </w:p>
    <w:p w14:paraId="462947AF" w14:textId="475CE11E" w:rsidR="00F31983" w:rsidRDefault="00F31983" w:rsidP="00620BD9">
      <w:pPr>
        <w:pStyle w:val="Tekstpodstawowy"/>
        <w:spacing w:after="0"/>
        <w:ind w:left="567"/>
        <w:jc w:val="both"/>
        <w:rPr>
          <w:sz w:val="22"/>
          <w:szCs w:val="22"/>
        </w:rPr>
      </w:pPr>
      <w:r>
        <w:rPr>
          <w:sz w:val="22"/>
          <w:szCs w:val="22"/>
        </w:rPr>
        <w:t>-</w:t>
      </w:r>
      <w:r w:rsidR="00390B6D" w:rsidRPr="005C2CE0">
        <w:rPr>
          <w:sz w:val="22"/>
          <w:szCs w:val="22"/>
        </w:rPr>
        <w:t xml:space="preserve"> nie stwierdzono udanych prób dostępu do danych przez nieuprawnione osoby (</w:t>
      </w:r>
      <w:r>
        <w:rPr>
          <w:sz w:val="22"/>
          <w:szCs w:val="22"/>
        </w:rPr>
        <w:t>e-BankNet</w:t>
      </w:r>
      <w:r w:rsidR="00D402AF">
        <w:rPr>
          <w:sz w:val="22"/>
          <w:szCs w:val="22"/>
        </w:rPr>
        <w:t>,</w:t>
      </w:r>
    </w:p>
    <w:p w14:paraId="38AFE41C" w14:textId="3855D3F1" w:rsidR="00390B6D" w:rsidRPr="005C2CE0" w:rsidRDefault="00F31983" w:rsidP="00620BD9">
      <w:pPr>
        <w:pStyle w:val="Tekstpodstawowy"/>
        <w:spacing w:after="0"/>
        <w:ind w:left="567"/>
        <w:jc w:val="both"/>
        <w:rPr>
          <w:sz w:val="22"/>
          <w:szCs w:val="22"/>
        </w:rPr>
      </w:pPr>
      <w:r>
        <w:rPr>
          <w:sz w:val="22"/>
          <w:szCs w:val="22"/>
        </w:rPr>
        <w:t xml:space="preserve">  </w:t>
      </w:r>
      <w:r w:rsidR="00D402AF">
        <w:rPr>
          <w:sz w:val="22"/>
          <w:szCs w:val="22"/>
        </w:rPr>
        <w:t>e-Firma</w:t>
      </w:r>
      <w:r w:rsidR="00390B6D" w:rsidRPr="005C2CE0">
        <w:rPr>
          <w:sz w:val="22"/>
          <w:szCs w:val="22"/>
        </w:rPr>
        <w:t>),</w:t>
      </w:r>
    </w:p>
    <w:p w14:paraId="4ECED05A" w14:textId="77777777" w:rsidR="00390B6D" w:rsidRPr="005C2CE0" w:rsidRDefault="00F31983" w:rsidP="00620BD9">
      <w:pPr>
        <w:pStyle w:val="Tekstpodstawowy"/>
        <w:spacing w:after="0"/>
        <w:ind w:left="567"/>
        <w:jc w:val="both"/>
        <w:rPr>
          <w:sz w:val="22"/>
          <w:szCs w:val="22"/>
        </w:rPr>
      </w:pPr>
      <w:r>
        <w:rPr>
          <w:sz w:val="22"/>
          <w:szCs w:val="22"/>
        </w:rPr>
        <w:t xml:space="preserve">- </w:t>
      </w:r>
      <w:r w:rsidR="00390B6D" w:rsidRPr="005C2CE0">
        <w:rPr>
          <w:sz w:val="22"/>
          <w:szCs w:val="22"/>
        </w:rPr>
        <w:t>nie stwierdzono ograniczenia dostępności zasobów sieciowych,</w:t>
      </w:r>
    </w:p>
    <w:p w14:paraId="6F1BDFCA" w14:textId="77777777" w:rsidR="00390B6D" w:rsidRPr="005C2CE0" w:rsidRDefault="00F31983" w:rsidP="00620BD9">
      <w:pPr>
        <w:pStyle w:val="Tekstpodstawowy"/>
        <w:spacing w:after="0"/>
        <w:ind w:left="567"/>
        <w:jc w:val="both"/>
        <w:rPr>
          <w:sz w:val="22"/>
          <w:szCs w:val="22"/>
        </w:rPr>
      </w:pPr>
      <w:r>
        <w:rPr>
          <w:sz w:val="22"/>
          <w:szCs w:val="22"/>
        </w:rPr>
        <w:t xml:space="preserve">- </w:t>
      </w:r>
      <w:r w:rsidR="00390B6D" w:rsidRPr="005C2CE0">
        <w:rPr>
          <w:sz w:val="22"/>
          <w:szCs w:val="22"/>
        </w:rPr>
        <w:t>nie stwierdzono działań z użyciem rozsyłania złośliwych kodów,</w:t>
      </w:r>
    </w:p>
    <w:p w14:paraId="1B653315" w14:textId="77777777" w:rsidR="00390B6D" w:rsidRPr="005C2CE0" w:rsidRDefault="00F31983" w:rsidP="00620BD9">
      <w:pPr>
        <w:pStyle w:val="Tekstpodstawowy"/>
        <w:spacing w:after="0"/>
        <w:ind w:left="567"/>
        <w:jc w:val="both"/>
        <w:rPr>
          <w:sz w:val="22"/>
          <w:szCs w:val="22"/>
        </w:rPr>
      </w:pPr>
      <w:r>
        <w:rPr>
          <w:sz w:val="22"/>
          <w:szCs w:val="22"/>
        </w:rPr>
        <w:t xml:space="preserve">- </w:t>
      </w:r>
      <w:r w:rsidR="00390B6D" w:rsidRPr="005C2CE0">
        <w:rPr>
          <w:sz w:val="22"/>
          <w:szCs w:val="22"/>
        </w:rPr>
        <w:t>nie stwierdzono innych istotnych przypadków naruszenia bezpieczeństwa.</w:t>
      </w:r>
    </w:p>
    <w:p w14:paraId="14657949" w14:textId="77777777" w:rsidR="00390B6D" w:rsidRPr="005C2CE0" w:rsidRDefault="00390B6D" w:rsidP="00620BD9">
      <w:pPr>
        <w:pStyle w:val="Tekstpodstawowy"/>
        <w:spacing w:after="0"/>
        <w:jc w:val="both"/>
        <w:rPr>
          <w:sz w:val="22"/>
          <w:szCs w:val="22"/>
        </w:rPr>
      </w:pPr>
      <w:r w:rsidRPr="005C2CE0">
        <w:rPr>
          <w:sz w:val="22"/>
          <w:szCs w:val="22"/>
        </w:rPr>
        <w:t> </w:t>
      </w:r>
    </w:p>
    <w:p w14:paraId="13EA9208" w14:textId="7E503127" w:rsidR="00390B6D" w:rsidRPr="005C2CE0" w:rsidRDefault="00390B6D" w:rsidP="00620BD9">
      <w:pPr>
        <w:pStyle w:val="Tekstpodstawowy"/>
        <w:spacing w:after="0"/>
        <w:jc w:val="both"/>
        <w:rPr>
          <w:sz w:val="22"/>
          <w:szCs w:val="22"/>
        </w:rPr>
      </w:pPr>
      <w:r w:rsidRPr="005C2CE0">
        <w:rPr>
          <w:sz w:val="22"/>
          <w:szCs w:val="22"/>
        </w:rPr>
        <w:t xml:space="preserve">W </w:t>
      </w:r>
      <w:r w:rsidR="00A924BB">
        <w:rPr>
          <w:sz w:val="22"/>
          <w:szCs w:val="22"/>
        </w:rPr>
        <w:t>201</w:t>
      </w:r>
      <w:r w:rsidR="00D402AF">
        <w:rPr>
          <w:sz w:val="22"/>
          <w:szCs w:val="22"/>
        </w:rPr>
        <w:t>9</w:t>
      </w:r>
      <w:r w:rsidRPr="005C2CE0">
        <w:rPr>
          <w:sz w:val="22"/>
          <w:szCs w:val="22"/>
        </w:rPr>
        <w:t>r. nie stwierdzono zdarzeń, które w zasadniczy sposób spowodowały zagrożenia naruszenia bezpieczeństwa systemu informatycznego Banku.</w:t>
      </w:r>
    </w:p>
    <w:p w14:paraId="28F0EC56" w14:textId="77777777" w:rsidR="00390B6D" w:rsidRPr="005C2CE0" w:rsidRDefault="00390B6D" w:rsidP="00620BD9">
      <w:pPr>
        <w:pStyle w:val="Tekstpodstawowy"/>
        <w:spacing w:after="0"/>
        <w:jc w:val="both"/>
        <w:rPr>
          <w:sz w:val="22"/>
          <w:szCs w:val="22"/>
        </w:rPr>
      </w:pPr>
      <w:r w:rsidRPr="005C2CE0">
        <w:rPr>
          <w:sz w:val="22"/>
          <w:szCs w:val="22"/>
        </w:rPr>
        <w:t xml:space="preserve">Nie zanotowano prób działań hakerskich czy też próby kradzieży informacji bankowych. </w:t>
      </w:r>
    </w:p>
    <w:p w14:paraId="3DA77842" w14:textId="26CE2001" w:rsidR="005C2CE0" w:rsidRPr="005C2CE0" w:rsidRDefault="005C2CE0" w:rsidP="00620BD9">
      <w:pPr>
        <w:spacing w:line="240" w:lineRule="auto"/>
        <w:jc w:val="both"/>
        <w:rPr>
          <w:rFonts w:ascii="Times New Roman" w:hAnsi="Times New Roman" w:cs="Times New Roman"/>
        </w:rPr>
      </w:pPr>
      <w:r w:rsidRPr="005C2CE0">
        <w:rPr>
          <w:rFonts w:ascii="Times New Roman" w:hAnsi="Times New Roman" w:cs="Times New Roman"/>
        </w:rPr>
        <w:t>Zarząd Banku dbając o profesjonalna obsług klientów oraz o bezpieczeństwo pracowników kierował pracowników na liczne szkolenia oraz narady związane z wykonywaniem powierzonych obowiązków. Łączny koszt szkoleń w 201</w:t>
      </w:r>
      <w:r w:rsidR="00D402AF">
        <w:rPr>
          <w:rFonts w:ascii="Times New Roman" w:hAnsi="Times New Roman" w:cs="Times New Roman"/>
        </w:rPr>
        <w:t>9</w:t>
      </w:r>
      <w:r w:rsidRPr="005C2CE0">
        <w:rPr>
          <w:rFonts w:ascii="Times New Roman" w:hAnsi="Times New Roman" w:cs="Times New Roman"/>
        </w:rPr>
        <w:t xml:space="preserve">r. wyniósł </w:t>
      </w:r>
      <w:r w:rsidR="00D402AF">
        <w:rPr>
          <w:rFonts w:ascii="Times New Roman" w:hAnsi="Times New Roman" w:cs="Times New Roman"/>
        </w:rPr>
        <w:t>37 tyś</w:t>
      </w:r>
      <w:r w:rsidRPr="005C2CE0">
        <w:rPr>
          <w:rFonts w:ascii="Times New Roman" w:hAnsi="Times New Roman" w:cs="Times New Roman"/>
        </w:rPr>
        <w:t xml:space="preserve"> zł</w:t>
      </w:r>
    </w:p>
    <w:p w14:paraId="5CBD4DB9" w14:textId="5D7C33A7" w:rsidR="005C2CE0" w:rsidRDefault="006C4397" w:rsidP="00620BD9">
      <w:pPr>
        <w:spacing w:line="240" w:lineRule="auto"/>
        <w:jc w:val="both"/>
        <w:rPr>
          <w:rFonts w:ascii="Times New Roman" w:hAnsi="Times New Roman" w:cs="Times New Roman"/>
        </w:rPr>
      </w:pPr>
      <w:r>
        <w:rPr>
          <w:rFonts w:ascii="Times New Roman" w:hAnsi="Times New Roman" w:cs="Times New Roman"/>
        </w:rPr>
        <w:t>W roku 201</w:t>
      </w:r>
      <w:r w:rsidR="00D402AF">
        <w:rPr>
          <w:rFonts w:ascii="Times New Roman" w:hAnsi="Times New Roman" w:cs="Times New Roman"/>
        </w:rPr>
        <w:t>9</w:t>
      </w:r>
      <w:r>
        <w:rPr>
          <w:rFonts w:ascii="Times New Roman" w:hAnsi="Times New Roman" w:cs="Times New Roman"/>
        </w:rPr>
        <w:t xml:space="preserve"> </w:t>
      </w:r>
      <w:r w:rsidR="005C2CE0" w:rsidRPr="005C2CE0">
        <w:rPr>
          <w:rFonts w:ascii="Times New Roman" w:hAnsi="Times New Roman" w:cs="Times New Roman"/>
        </w:rPr>
        <w:t>nie wystąpiły nieplanowane nieobecności w pracy kadry kierowniczej, które mogły by zachwiać płynnością pracy w Banku.</w:t>
      </w:r>
    </w:p>
    <w:p w14:paraId="0CE341B1" w14:textId="77777777" w:rsidR="001F3BB4" w:rsidRDefault="001F3BB4" w:rsidP="00620BD9">
      <w:pPr>
        <w:spacing w:line="240" w:lineRule="auto"/>
        <w:jc w:val="both"/>
        <w:rPr>
          <w:rFonts w:ascii="Times New Roman" w:hAnsi="Times New Roman" w:cs="Times New Roman"/>
        </w:rPr>
      </w:pPr>
    </w:p>
    <w:p w14:paraId="05128EC9" w14:textId="551CB9F2" w:rsidR="00E8107E" w:rsidRDefault="00E8107E" w:rsidP="005C2CE0">
      <w:pPr>
        <w:jc w:val="both"/>
        <w:rPr>
          <w:rFonts w:ascii="Times New Roman" w:hAnsi="Times New Roman" w:cs="Times New Roman"/>
        </w:rPr>
      </w:pPr>
      <w:r>
        <w:rPr>
          <w:rFonts w:ascii="Times New Roman" w:hAnsi="Times New Roman" w:cs="Times New Roman"/>
        </w:rPr>
        <w:lastRenderedPageBreak/>
        <w:tab/>
        <w:t xml:space="preserve">                          </w:t>
      </w:r>
      <w:r w:rsidRPr="00E8107E">
        <w:rPr>
          <w:rFonts w:ascii="Times New Roman" w:hAnsi="Times New Roman" w:cs="Times New Roman"/>
          <w:b/>
        </w:rPr>
        <w:t>XVI</w:t>
      </w:r>
      <w:r w:rsidR="00B40B8C">
        <w:rPr>
          <w:rFonts w:ascii="Times New Roman" w:hAnsi="Times New Roman" w:cs="Times New Roman"/>
          <w:b/>
        </w:rPr>
        <w:t>I</w:t>
      </w:r>
      <w:r w:rsidRPr="00E8107E">
        <w:rPr>
          <w:rFonts w:ascii="Times New Roman" w:hAnsi="Times New Roman" w:cs="Times New Roman"/>
          <w:b/>
        </w:rPr>
        <w:t>. RYZYKO PŁYNNOŚCI</w:t>
      </w:r>
      <w:r>
        <w:rPr>
          <w:rFonts w:ascii="Times New Roman" w:hAnsi="Times New Roman" w:cs="Times New Roman"/>
        </w:rPr>
        <w:t xml:space="preserve"> </w:t>
      </w:r>
    </w:p>
    <w:p w14:paraId="33FC5AC9" w14:textId="673EF7D0" w:rsidR="00A1400B" w:rsidRPr="006C4397" w:rsidRDefault="00A1400B" w:rsidP="005C2CE0">
      <w:pPr>
        <w:jc w:val="both"/>
        <w:rPr>
          <w:rFonts w:ascii="Times New Roman" w:hAnsi="Times New Roman" w:cs="Times New Roman"/>
        </w:rPr>
      </w:pPr>
      <w:r w:rsidRPr="006C4397">
        <w:rPr>
          <w:rFonts w:ascii="Times New Roman" w:hAnsi="Times New Roman" w:cs="Times New Roman"/>
        </w:rPr>
        <w:t>Re</w:t>
      </w:r>
      <w:r w:rsidR="00D402AF">
        <w:rPr>
          <w:rFonts w:ascii="Times New Roman" w:hAnsi="Times New Roman" w:cs="Times New Roman"/>
        </w:rPr>
        <w:t xml:space="preserve">komendacja P </w:t>
      </w:r>
      <w:r w:rsidRPr="006C4397">
        <w:rPr>
          <w:rFonts w:ascii="Times New Roman" w:hAnsi="Times New Roman" w:cs="Times New Roman"/>
        </w:rPr>
        <w:t xml:space="preserve">nakłada większe obowiązki na Banki odnośnie nadzorowania i </w:t>
      </w:r>
      <w:r w:rsidR="006C4397" w:rsidRPr="006C4397">
        <w:rPr>
          <w:rFonts w:ascii="Times New Roman" w:hAnsi="Times New Roman" w:cs="Times New Roman"/>
        </w:rPr>
        <w:t>monitorowania płynności w Banku</w:t>
      </w:r>
      <w:r w:rsidRPr="006C4397">
        <w:rPr>
          <w:rFonts w:ascii="Times New Roman" w:hAnsi="Times New Roman" w:cs="Times New Roman"/>
        </w:rPr>
        <w:t>. Bank liczy codzi</w:t>
      </w:r>
      <w:r w:rsidR="00D402AF">
        <w:rPr>
          <w:rFonts w:ascii="Times New Roman" w:hAnsi="Times New Roman" w:cs="Times New Roman"/>
        </w:rPr>
        <w:t>ennie nadzorcze miary płynności</w:t>
      </w:r>
      <w:r w:rsidRPr="006C4397">
        <w:rPr>
          <w:rFonts w:ascii="Times New Roman" w:hAnsi="Times New Roman" w:cs="Times New Roman"/>
        </w:rPr>
        <w:t>, które raportuje Zarządowi</w:t>
      </w:r>
      <w:r w:rsidR="00C21B7C" w:rsidRPr="006C4397">
        <w:rPr>
          <w:rFonts w:ascii="Times New Roman" w:hAnsi="Times New Roman" w:cs="Times New Roman"/>
        </w:rPr>
        <w:t>.</w:t>
      </w:r>
    </w:p>
    <w:p w14:paraId="73339979" w14:textId="5969582A" w:rsidR="00234F8E" w:rsidRPr="006C4397" w:rsidRDefault="00234F8E" w:rsidP="00234F8E">
      <w:pPr>
        <w:spacing w:after="0"/>
        <w:rPr>
          <w:rFonts w:ascii="Times New Roman" w:hAnsi="Times New Roman"/>
        </w:rPr>
      </w:pPr>
      <w:r w:rsidRPr="006C4397">
        <w:rPr>
          <w:rFonts w:ascii="Times New Roman" w:hAnsi="Times New Roman"/>
        </w:rPr>
        <w:t>Limity wewnętrzne – kontrola przestrzegania limitów na dzień 31</w:t>
      </w:r>
      <w:r w:rsidR="00C573C5">
        <w:rPr>
          <w:rFonts w:ascii="Times New Roman" w:hAnsi="Times New Roman"/>
        </w:rPr>
        <w:t>.</w:t>
      </w:r>
      <w:r w:rsidR="00AB455A">
        <w:rPr>
          <w:rFonts w:ascii="Times New Roman" w:hAnsi="Times New Roman"/>
        </w:rPr>
        <w:t>1</w:t>
      </w:r>
      <w:r w:rsidRPr="006C4397">
        <w:rPr>
          <w:rFonts w:ascii="Times New Roman" w:hAnsi="Times New Roman"/>
        </w:rPr>
        <w:t>2</w:t>
      </w:r>
      <w:r w:rsidR="00C573C5">
        <w:rPr>
          <w:rFonts w:ascii="Times New Roman" w:hAnsi="Times New Roman"/>
        </w:rPr>
        <w:t>.</w:t>
      </w:r>
      <w:r w:rsidRPr="006C4397">
        <w:rPr>
          <w:rFonts w:ascii="Times New Roman" w:hAnsi="Times New Roman"/>
        </w:rPr>
        <w:t>201</w:t>
      </w:r>
      <w:r w:rsidR="00D402AF">
        <w:rPr>
          <w:rFonts w:ascii="Times New Roman" w:hAnsi="Times New Roman"/>
        </w:rPr>
        <w:t>9</w:t>
      </w:r>
      <w:r w:rsidRPr="006C4397">
        <w:rPr>
          <w:rFonts w:ascii="Times New Roman" w:hAnsi="Times New Roman"/>
        </w:rPr>
        <w:t>r. w zakresie ryzyka płynności</w:t>
      </w:r>
      <w:r w:rsidR="00E952BA" w:rsidRPr="006C4397">
        <w:rPr>
          <w:rFonts w:ascii="Times New Roman" w:hAnsi="Times New Roman"/>
        </w:rPr>
        <w:t xml:space="preserve"> są przestrzegane</w:t>
      </w:r>
      <w:r w:rsidR="00C21B7C" w:rsidRPr="006C4397">
        <w:rPr>
          <w:rFonts w:ascii="Times New Roman" w:hAnsi="Times New Roman"/>
        </w:rPr>
        <w:t>:</w:t>
      </w:r>
    </w:p>
    <w:p w14:paraId="1D93A99A" w14:textId="77777777" w:rsidR="00234F8E" w:rsidRDefault="00234F8E" w:rsidP="00234F8E">
      <w:pPr>
        <w:pStyle w:val="Akapitzlist"/>
        <w:spacing w:after="0"/>
        <w:rPr>
          <w:rFonts w:ascii="Times New Roman" w:hAnsi="Times New Roman"/>
          <w:b/>
          <w:sz w:val="24"/>
        </w:rPr>
      </w:pPr>
    </w:p>
    <w:tbl>
      <w:tblPr>
        <w:tblW w:w="7205" w:type="dxa"/>
        <w:jc w:val="center"/>
        <w:tblCellMar>
          <w:left w:w="70" w:type="dxa"/>
          <w:right w:w="70" w:type="dxa"/>
        </w:tblCellMar>
        <w:tblLook w:val="04A0" w:firstRow="1" w:lastRow="0" w:firstColumn="1" w:lastColumn="0" w:noHBand="0" w:noVBand="1"/>
      </w:tblPr>
      <w:tblGrid>
        <w:gridCol w:w="2648"/>
        <w:gridCol w:w="1436"/>
        <w:gridCol w:w="988"/>
        <w:gridCol w:w="857"/>
        <w:gridCol w:w="1276"/>
      </w:tblGrid>
      <w:tr w:rsidR="002906D1" w:rsidRPr="002906D1" w14:paraId="7D7102A1" w14:textId="77777777" w:rsidTr="002906D1">
        <w:trPr>
          <w:trHeight w:val="323"/>
          <w:jc w:val="center"/>
        </w:trPr>
        <w:tc>
          <w:tcPr>
            <w:tcW w:w="264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4DE2920" w14:textId="77777777" w:rsidR="002906D1" w:rsidRPr="002906D1" w:rsidRDefault="002906D1" w:rsidP="00AA7988">
            <w:pPr>
              <w:spacing w:after="0" w:line="240" w:lineRule="auto"/>
              <w:jc w:val="center"/>
              <w:rPr>
                <w:rFonts w:ascii="Times New Roman" w:eastAsia="Times New Roman" w:hAnsi="Times New Roman"/>
                <w:b/>
                <w:sz w:val="20"/>
                <w:szCs w:val="20"/>
                <w:lang w:eastAsia="pl-PL"/>
              </w:rPr>
            </w:pPr>
            <w:r w:rsidRPr="002906D1">
              <w:rPr>
                <w:rFonts w:ascii="Times New Roman" w:eastAsia="Times New Roman" w:hAnsi="Times New Roman"/>
                <w:b/>
                <w:sz w:val="20"/>
                <w:szCs w:val="20"/>
                <w:lang w:eastAsia="pl-PL"/>
              </w:rPr>
              <w:t>Nazwa wskaźnika</w:t>
            </w:r>
          </w:p>
        </w:tc>
        <w:tc>
          <w:tcPr>
            <w:tcW w:w="1436" w:type="dxa"/>
            <w:tcBorders>
              <w:top w:val="single" w:sz="4" w:space="0" w:color="auto"/>
              <w:left w:val="single" w:sz="4" w:space="0" w:color="auto"/>
              <w:bottom w:val="single" w:sz="4" w:space="0" w:color="auto"/>
            </w:tcBorders>
            <w:shd w:val="clear" w:color="auto" w:fill="auto"/>
            <w:noWrap/>
            <w:vAlign w:val="center"/>
            <w:hideMark/>
          </w:tcPr>
          <w:p w14:paraId="19DC8299" w14:textId="77777777" w:rsidR="002906D1" w:rsidRPr="002906D1" w:rsidRDefault="002906D1" w:rsidP="002906D1">
            <w:pPr>
              <w:spacing w:after="0" w:line="240" w:lineRule="auto"/>
              <w:jc w:val="center"/>
              <w:rPr>
                <w:rFonts w:ascii="Times New Roman" w:eastAsia="Times New Roman" w:hAnsi="Times New Roman"/>
                <w:b/>
                <w:color w:val="000000"/>
                <w:sz w:val="20"/>
                <w:szCs w:val="20"/>
                <w:lang w:eastAsia="pl-PL"/>
              </w:rPr>
            </w:pPr>
            <w:r w:rsidRPr="002906D1">
              <w:rPr>
                <w:rFonts w:ascii="Times New Roman" w:eastAsia="Times New Roman" w:hAnsi="Times New Roman"/>
                <w:b/>
                <w:color w:val="000000"/>
                <w:sz w:val="20"/>
                <w:szCs w:val="20"/>
                <w:lang w:eastAsia="pl-PL"/>
              </w:rPr>
              <w:t>Wartość</w:t>
            </w:r>
          </w:p>
        </w:tc>
        <w:tc>
          <w:tcPr>
            <w:tcW w:w="1845" w:type="dxa"/>
            <w:gridSpan w:val="2"/>
            <w:vMerge w:val="restart"/>
            <w:tcBorders>
              <w:top w:val="single" w:sz="4" w:space="0" w:color="auto"/>
              <w:left w:val="single" w:sz="4" w:space="0" w:color="auto"/>
              <w:right w:val="single" w:sz="4" w:space="0" w:color="auto"/>
            </w:tcBorders>
            <w:shd w:val="clear" w:color="auto" w:fill="auto"/>
            <w:vAlign w:val="center"/>
            <w:hideMark/>
          </w:tcPr>
          <w:p w14:paraId="3B8AF67B" w14:textId="77777777" w:rsidR="002906D1" w:rsidRPr="002906D1" w:rsidRDefault="002906D1" w:rsidP="002906D1">
            <w:pPr>
              <w:spacing w:after="0" w:line="240" w:lineRule="auto"/>
              <w:jc w:val="center"/>
              <w:rPr>
                <w:rFonts w:ascii="Times New Roman" w:eastAsia="Times New Roman" w:hAnsi="Times New Roman"/>
                <w:b/>
                <w:color w:val="000000"/>
                <w:sz w:val="20"/>
                <w:szCs w:val="20"/>
                <w:lang w:eastAsia="pl-PL"/>
              </w:rPr>
            </w:pPr>
            <w:r w:rsidRPr="002906D1">
              <w:rPr>
                <w:rFonts w:ascii="Times New Roman" w:eastAsia="Times New Roman" w:hAnsi="Times New Roman"/>
                <w:b/>
                <w:color w:val="000000"/>
                <w:sz w:val="20"/>
                <w:szCs w:val="20"/>
                <w:lang w:eastAsia="pl-PL"/>
              </w:rPr>
              <w:t>Ustalony limit</w:t>
            </w:r>
          </w:p>
        </w:tc>
        <w:tc>
          <w:tcPr>
            <w:tcW w:w="1276" w:type="dxa"/>
            <w:vMerge w:val="restart"/>
            <w:tcBorders>
              <w:top w:val="single" w:sz="8" w:space="0" w:color="auto"/>
              <w:left w:val="single" w:sz="4" w:space="0" w:color="auto"/>
              <w:right w:val="single" w:sz="4" w:space="0" w:color="auto"/>
            </w:tcBorders>
            <w:shd w:val="clear" w:color="auto" w:fill="auto"/>
            <w:vAlign w:val="center"/>
            <w:hideMark/>
          </w:tcPr>
          <w:p w14:paraId="5D1EB0C9" w14:textId="77777777" w:rsidR="002906D1" w:rsidRPr="002906D1" w:rsidRDefault="002906D1" w:rsidP="00AA7988">
            <w:pPr>
              <w:spacing w:after="0" w:line="240" w:lineRule="auto"/>
              <w:jc w:val="center"/>
              <w:rPr>
                <w:rFonts w:ascii="Times New Roman" w:eastAsia="Times New Roman" w:hAnsi="Times New Roman"/>
                <w:b/>
                <w:color w:val="000000"/>
                <w:sz w:val="20"/>
                <w:szCs w:val="20"/>
                <w:lang w:eastAsia="pl-PL"/>
              </w:rPr>
            </w:pPr>
            <w:r w:rsidRPr="002906D1">
              <w:rPr>
                <w:rFonts w:ascii="Times New Roman" w:eastAsia="Times New Roman" w:hAnsi="Times New Roman"/>
                <w:b/>
                <w:color w:val="000000"/>
                <w:sz w:val="20"/>
                <w:szCs w:val="20"/>
                <w:lang w:eastAsia="pl-PL"/>
              </w:rPr>
              <w:t>Wykonanie limitu</w:t>
            </w:r>
          </w:p>
        </w:tc>
      </w:tr>
      <w:tr w:rsidR="002906D1" w:rsidRPr="002906D1" w14:paraId="67C8B9CD" w14:textId="77777777" w:rsidTr="002906D1">
        <w:trPr>
          <w:trHeight w:val="259"/>
          <w:jc w:val="center"/>
        </w:trPr>
        <w:tc>
          <w:tcPr>
            <w:tcW w:w="2648" w:type="dxa"/>
            <w:vMerge/>
            <w:tcBorders>
              <w:top w:val="single" w:sz="8" w:space="0" w:color="auto"/>
              <w:left w:val="single" w:sz="8" w:space="0" w:color="auto"/>
              <w:bottom w:val="single" w:sz="8" w:space="0" w:color="000000"/>
              <w:right w:val="nil"/>
            </w:tcBorders>
            <w:vAlign w:val="center"/>
            <w:hideMark/>
          </w:tcPr>
          <w:p w14:paraId="737EE51A" w14:textId="77777777" w:rsidR="002906D1" w:rsidRPr="002906D1" w:rsidRDefault="002906D1" w:rsidP="00AA7988">
            <w:pPr>
              <w:spacing w:after="0" w:line="240" w:lineRule="auto"/>
              <w:rPr>
                <w:rFonts w:ascii="Times New Roman" w:eastAsia="Times New Roman" w:hAnsi="Times New Roman"/>
                <w:sz w:val="20"/>
                <w:szCs w:val="20"/>
                <w:lang w:eastAsia="pl-PL"/>
              </w:rPr>
            </w:pPr>
          </w:p>
        </w:tc>
        <w:tc>
          <w:tcPr>
            <w:tcW w:w="143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B332D77" w14:textId="447C9658" w:rsidR="002906D1" w:rsidRPr="002906D1" w:rsidRDefault="002906D1" w:rsidP="002906D1">
            <w:pPr>
              <w:spacing w:after="0" w:line="240" w:lineRule="auto"/>
              <w:jc w:val="center"/>
              <w:rPr>
                <w:rFonts w:ascii="Times New Roman" w:eastAsia="Times New Roman" w:hAnsi="Times New Roman"/>
                <w:b/>
                <w:color w:val="000000"/>
                <w:sz w:val="20"/>
                <w:szCs w:val="20"/>
                <w:lang w:eastAsia="pl-PL"/>
              </w:rPr>
            </w:pPr>
            <w:r w:rsidRPr="002906D1">
              <w:rPr>
                <w:rFonts w:ascii="Times New Roman" w:eastAsia="Times New Roman" w:hAnsi="Times New Roman"/>
                <w:b/>
                <w:color w:val="000000"/>
                <w:sz w:val="20"/>
                <w:szCs w:val="20"/>
                <w:lang w:eastAsia="pl-PL"/>
              </w:rPr>
              <w:t>31.12.2019</w:t>
            </w:r>
          </w:p>
        </w:tc>
        <w:tc>
          <w:tcPr>
            <w:tcW w:w="1845" w:type="dxa"/>
            <w:gridSpan w:val="2"/>
            <w:vMerge/>
            <w:tcBorders>
              <w:left w:val="single" w:sz="4" w:space="0" w:color="auto"/>
              <w:bottom w:val="single" w:sz="4" w:space="0" w:color="auto"/>
              <w:right w:val="single" w:sz="4" w:space="0" w:color="auto"/>
            </w:tcBorders>
            <w:vAlign w:val="center"/>
            <w:hideMark/>
          </w:tcPr>
          <w:p w14:paraId="656408E4" w14:textId="77777777" w:rsidR="002906D1" w:rsidRPr="002906D1" w:rsidRDefault="002906D1" w:rsidP="00AA7988">
            <w:pPr>
              <w:spacing w:after="0" w:line="240" w:lineRule="auto"/>
              <w:jc w:val="right"/>
              <w:rPr>
                <w:rFonts w:ascii="Times New Roman" w:eastAsia="Times New Roman" w:hAnsi="Times New Roman"/>
                <w:color w:val="000000"/>
                <w:sz w:val="20"/>
                <w:szCs w:val="20"/>
                <w:lang w:eastAsia="pl-PL"/>
              </w:rPr>
            </w:pPr>
          </w:p>
        </w:tc>
        <w:tc>
          <w:tcPr>
            <w:tcW w:w="1276" w:type="dxa"/>
            <w:vMerge/>
            <w:tcBorders>
              <w:left w:val="single" w:sz="4" w:space="0" w:color="auto"/>
              <w:bottom w:val="single" w:sz="8" w:space="0" w:color="000000"/>
              <w:right w:val="single" w:sz="4" w:space="0" w:color="auto"/>
            </w:tcBorders>
            <w:vAlign w:val="center"/>
            <w:hideMark/>
          </w:tcPr>
          <w:p w14:paraId="49B60ACA" w14:textId="77777777" w:rsidR="002906D1" w:rsidRPr="002906D1" w:rsidRDefault="002906D1" w:rsidP="00AA7988">
            <w:pPr>
              <w:spacing w:after="0" w:line="240" w:lineRule="auto"/>
              <w:jc w:val="right"/>
              <w:rPr>
                <w:rFonts w:ascii="Times New Roman" w:eastAsia="Times New Roman" w:hAnsi="Times New Roman"/>
                <w:color w:val="000000"/>
                <w:sz w:val="20"/>
                <w:szCs w:val="20"/>
                <w:lang w:eastAsia="pl-PL"/>
              </w:rPr>
            </w:pPr>
          </w:p>
        </w:tc>
      </w:tr>
      <w:tr w:rsidR="00D402AF" w:rsidRPr="002906D1" w14:paraId="598E3DD8" w14:textId="77777777" w:rsidTr="002906D1">
        <w:trPr>
          <w:trHeight w:val="248"/>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8834A" w14:textId="77777777" w:rsidR="00D402AF" w:rsidRPr="002906D1" w:rsidRDefault="00D402AF" w:rsidP="00D402AF">
            <w:pPr>
              <w:spacing w:after="0" w:line="240" w:lineRule="auto"/>
              <w:rPr>
                <w:rFonts w:ascii="Times New Roman" w:eastAsia="Times New Roman" w:hAnsi="Times New Roman"/>
                <w:sz w:val="20"/>
                <w:szCs w:val="20"/>
                <w:lang w:eastAsia="pl-PL"/>
              </w:rPr>
            </w:pPr>
            <w:r w:rsidRPr="002906D1">
              <w:rPr>
                <w:rFonts w:ascii="Times New Roman" w:eastAsia="Times New Roman" w:hAnsi="Times New Roman"/>
                <w:sz w:val="20"/>
                <w:szCs w:val="20"/>
                <w:lang w:eastAsia="pl-PL"/>
              </w:rPr>
              <w:t>obligo kredytowe/aktywa netto</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4D603A9B" w14:textId="69F6CC72" w:rsidR="00D402AF" w:rsidRPr="002906D1" w:rsidRDefault="00D402AF" w:rsidP="00D402AF">
            <w:pPr>
              <w:spacing w:after="0" w:line="240" w:lineRule="auto"/>
              <w:jc w:val="center"/>
              <w:rPr>
                <w:rFonts w:ascii="Times New Roman" w:eastAsia="Times New Roman" w:hAnsi="Times New Roman"/>
                <w:color w:val="000000"/>
                <w:sz w:val="20"/>
                <w:szCs w:val="20"/>
                <w:lang w:eastAsia="pl-PL"/>
              </w:rPr>
            </w:pPr>
            <w:r w:rsidRPr="002906D1">
              <w:rPr>
                <w:rFonts w:ascii="Times New Roman" w:eastAsia="Times New Roman" w:hAnsi="Times New Roman"/>
                <w:sz w:val="20"/>
                <w:szCs w:val="20"/>
                <w:lang w:eastAsia="pl-PL"/>
              </w:rPr>
              <w:t>37,08%</w:t>
            </w:r>
          </w:p>
        </w:tc>
        <w:tc>
          <w:tcPr>
            <w:tcW w:w="988" w:type="dxa"/>
            <w:tcBorders>
              <w:top w:val="nil"/>
              <w:left w:val="nil"/>
              <w:bottom w:val="single" w:sz="4" w:space="0" w:color="auto"/>
              <w:right w:val="single" w:sz="4" w:space="0" w:color="FFFFFF"/>
            </w:tcBorders>
            <w:shd w:val="clear" w:color="auto" w:fill="auto"/>
            <w:noWrap/>
            <w:vAlign w:val="center"/>
            <w:hideMark/>
          </w:tcPr>
          <w:p w14:paraId="7FB5392D"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665F70A0"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76709EEF" w14:textId="2F0321C3" w:rsidR="00D402AF" w:rsidRPr="002906D1" w:rsidRDefault="00D402AF" w:rsidP="00D402AF">
            <w:pPr>
              <w:spacing w:after="0" w:line="240" w:lineRule="auto"/>
              <w:jc w:val="right"/>
              <w:rPr>
                <w:rFonts w:ascii="Times New Roman" w:hAnsi="Times New Roman"/>
                <w:color w:val="000000"/>
                <w:sz w:val="20"/>
                <w:szCs w:val="20"/>
              </w:rPr>
            </w:pPr>
            <w:r w:rsidRPr="002906D1">
              <w:rPr>
                <w:rFonts w:ascii="Times New Roman" w:eastAsia="Times New Roman" w:hAnsi="Times New Roman"/>
                <w:sz w:val="20"/>
                <w:szCs w:val="20"/>
                <w:lang w:eastAsia="pl-PL"/>
              </w:rPr>
              <w:t>52,97%</w:t>
            </w:r>
          </w:p>
        </w:tc>
      </w:tr>
      <w:tr w:rsidR="00D402AF" w:rsidRPr="002906D1" w14:paraId="5CD1D24A" w14:textId="77777777" w:rsidTr="002906D1">
        <w:trPr>
          <w:trHeight w:val="248"/>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76D99" w14:textId="77777777" w:rsidR="00D402AF" w:rsidRPr="002906D1" w:rsidRDefault="00D402AF" w:rsidP="00D402AF">
            <w:pPr>
              <w:spacing w:after="0" w:line="240" w:lineRule="auto"/>
              <w:rPr>
                <w:rFonts w:ascii="Times New Roman" w:eastAsia="Times New Roman" w:hAnsi="Times New Roman"/>
                <w:sz w:val="20"/>
                <w:szCs w:val="20"/>
                <w:lang w:eastAsia="pl-PL"/>
              </w:rPr>
            </w:pPr>
            <w:r w:rsidRPr="002906D1">
              <w:rPr>
                <w:rFonts w:ascii="Times New Roman" w:eastAsia="Times New Roman" w:hAnsi="Times New Roman"/>
                <w:sz w:val="20"/>
                <w:szCs w:val="20"/>
                <w:lang w:eastAsia="pl-PL"/>
              </w:rPr>
              <w:t>depozyty/kredyty</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68641CF8" w14:textId="07394716" w:rsidR="00D402AF" w:rsidRPr="002906D1" w:rsidRDefault="00D402AF" w:rsidP="00D402AF">
            <w:pPr>
              <w:spacing w:after="0" w:line="240" w:lineRule="auto"/>
              <w:jc w:val="center"/>
              <w:rPr>
                <w:rFonts w:ascii="Times New Roman" w:eastAsia="Times New Roman" w:hAnsi="Times New Roman"/>
                <w:color w:val="000000"/>
                <w:sz w:val="20"/>
                <w:szCs w:val="20"/>
                <w:lang w:eastAsia="pl-PL"/>
              </w:rPr>
            </w:pPr>
            <w:r w:rsidRPr="002906D1">
              <w:rPr>
                <w:rFonts w:ascii="Times New Roman" w:eastAsia="Times New Roman" w:hAnsi="Times New Roman"/>
                <w:sz w:val="20"/>
                <w:szCs w:val="20"/>
                <w:lang w:eastAsia="pl-PL"/>
              </w:rPr>
              <w:t>244,90%</w:t>
            </w:r>
          </w:p>
        </w:tc>
        <w:tc>
          <w:tcPr>
            <w:tcW w:w="988" w:type="dxa"/>
            <w:tcBorders>
              <w:top w:val="nil"/>
              <w:left w:val="nil"/>
              <w:bottom w:val="single" w:sz="4" w:space="0" w:color="auto"/>
              <w:right w:val="single" w:sz="4" w:space="0" w:color="FFFFFF"/>
            </w:tcBorders>
            <w:shd w:val="clear" w:color="auto" w:fill="auto"/>
            <w:noWrap/>
            <w:vAlign w:val="center"/>
            <w:hideMark/>
          </w:tcPr>
          <w:p w14:paraId="63B83B65"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min.</w:t>
            </w:r>
          </w:p>
        </w:tc>
        <w:tc>
          <w:tcPr>
            <w:tcW w:w="857" w:type="dxa"/>
            <w:tcBorders>
              <w:top w:val="nil"/>
              <w:left w:val="nil"/>
              <w:bottom w:val="single" w:sz="4" w:space="0" w:color="auto"/>
              <w:right w:val="single" w:sz="4" w:space="0" w:color="auto"/>
            </w:tcBorders>
            <w:shd w:val="clear" w:color="auto" w:fill="auto"/>
            <w:noWrap/>
            <w:vAlign w:val="center"/>
            <w:hideMark/>
          </w:tcPr>
          <w:p w14:paraId="2DCB81B6"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130,00%</w:t>
            </w:r>
          </w:p>
        </w:tc>
        <w:tc>
          <w:tcPr>
            <w:tcW w:w="1276" w:type="dxa"/>
            <w:tcBorders>
              <w:top w:val="nil"/>
              <w:left w:val="nil"/>
              <w:bottom w:val="single" w:sz="4" w:space="0" w:color="auto"/>
              <w:right w:val="single" w:sz="4" w:space="0" w:color="auto"/>
            </w:tcBorders>
            <w:shd w:val="clear" w:color="auto" w:fill="auto"/>
            <w:noWrap/>
            <w:vAlign w:val="center"/>
            <w:hideMark/>
          </w:tcPr>
          <w:p w14:paraId="733BEBCB" w14:textId="0DC290D9" w:rsidR="00D402AF" w:rsidRPr="002906D1" w:rsidRDefault="00D402AF" w:rsidP="00D402AF">
            <w:pPr>
              <w:spacing w:after="0" w:line="240" w:lineRule="auto"/>
              <w:jc w:val="right"/>
              <w:rPr>
                <w:rFonts w:ascii="Times New Roman" w:hAnsi="Times New Roman"/>
                <w:color w:val="000000"/>
                <w:sz w:val="20"/>
                <w:szCs w:val="20"/>
              </w:rPr>
            </w:pPr>
            <w:r w:rsidRPr="002906D1">
              <w:rPr>
                <w:rFonts w:ascii="Times New Roman" w:eastAsia="Times New Roman" w:hAnsi="Times New Roman"/>
                <w:sz w:val="20"/>
                <w:szCs w:val="20"/>
                <w:lang w:eastAsia="pl-PL"/>
              </w:rPr>
              <w:t>188,39%</w:t>
            </w:r>
          </w:p>
        </w:tc>
      </w:tr>
      <w:tr w:rsidR="00D402AF" w:rsidRPr="002906D1" w14:paraId="53ADD2E7" w14:textId="77777777" w:rsidTr="002906D1">
        <w:trPr>
          <w:trHeight w:val="248"/>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D5159" w14:textId="77777777" w:rsidR="00D402AF" w:rsidRPr="002906D1" w:rsidRDefault="00D402AF" w:rsidP="00D402AF">
            <w:pPr>
              <w:spacing w:after="0" w:line="240" w:lineRule="auto"/>
              <w:rPr>
                <w:rFonts w:ascii="Times New Roman" w:eastAsia="Times New Roman" w:hAnsi="Times New Roman"/>
                <w:sz w:val="20"/>
                <w:szCs w:val="20"/>
                <w:lang w:eastAsia="pl-PL"/>
              </w:rPr>
            </w:pPr>
            <w:r w:rsidRPr="002906D1">
              <w:rPr>
                <w:rFonts w:ascii="Times New Roman" w:eastAsia="Times New Roman" w:hAnsi="Times New Roman"/>
                <w:sz w:val="20"/>
                <w:szCs w:val="20"/>
                <w:lang w:eastAsia="pl-PL"/>
              </w:rPr>
              <w:t xml:space="preserve">kredyty/depozyty </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689A281B" w14:textId="3EA4E9D6" w:rsidR="00D402AF" w:rsidRPr="002906D1" w:rsidRDefault="00D402AF" w:rsidP="00D402AF">
            <w:pPr>
              <w:spacing w:after="0" w:line="240" w:lineRule="auto"/>
              <w:jc w:val="center"/>
              <w:rPr>
                <w:rFonts w:ascii="Times New Roman" w:eastAsia="Times New Roman" w:hAnsi="Times New Roman"/>
                <w:color w:val="000000"/>
                <w:sz w:val="20"/>
                <w:szCs w:val="20"/>
                <w:lang w:eastAsia="pl-PL"/>
              </w:rPr>
            </w:pPr>
            <w:r w:rsidRPr="002906D1">
              <w:rPr>
                <w:rFonts w:ascii="Times New Roman" w:eastAsia="Times New Roman" w:hAnsi="Times New Roman"/>
                <w:sz w:val="20"/>
                <w:szCs w:val="20"/>
                <w:lang w:eastAsia="pl-PL"/>
              </w:rPr>
              <w:t>40,83%</w:t>
            </w:r>
          </w:p>
        </w:tc>
        <w:tc>
          <w:tcPr>
            <w:tcW w:w="988" w:type="dxa"/>
            <w:tcBorders>
              <w:top w:val="nil"/>
              <w:left w:val="nil"/>
              <w:bottom w:val="single" w:sz="4" w:space="0" w:color="auto"/>
              <w:right w:val="single" w:sz="4" w:space="0" w:color="FFFFFF"/>
            </w:tcBorders>
            <w:shd w:val="clear" w:color="auto" w:fill="auto"/>
            <w:noWrap/>
            <w:vAlign w:val="center"/>
            <w:hideMark/>
          </w:tcPr>
          <w:p w14:paraId="7D018685"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3E92A00A"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75,00%</w:t>
            </w:r>
          </w:p>
        </w:tc>
        <w:tc>
          <w:tcPr>
            <w:tcW w:w="1276" w:type="dxa"/>
            <w:tcBorders>
              <w:top w:val="nil"/>
              <w:left w:val="nil"/>
              <w:bottom w:val="single" w:sz="4" w:space="0" w:color="auto"/>
              <w:right w:val="single" w:sz="4" w:space="0" w:color="auto"/>
            </w:tcBorders>
            <w:shd w:val="clear" w:color="auto" w:fill="auto"/>
            <w:noWrap/>
            <w:vAlign w:val="center"/>
            <w:hideMark/>
          </w:tcPr>
          <w:p w14:paraId="1A128610" w14:textId="114E02DE" w:rsidR="00D402AF" w:rsidRPr="002906D1" w:rsidRDefault="00D402AF" w:rsidP="00D402AF">
            <w:pPr>
              <w:spacing w:after="0" w:line="240" w:lineRule="auto"/>
              <w:jc w:val="right"/>
              <w:rPr>
                <w:rFonts w:ascii="Times New Roman" w:hAnsi="Times New Roman"/>
                <w:color w:val="000000"/>
                <w:sz w:val="20"/>
                <w:szCs w:val="20"/>
              </w:rPr>
            </w:pPr>
            <w:r w:rsidRPr="002906D1">
              <w:rPr>
                <w:rFonts w:ascii="Times New Roman" w:eastAsia="Times New Roman" w:hAnsi="Times New Roman"/>
                <w:sz w:val="20"/>
                <w:szCs w:val="20"/>
                <w:lang w:eastAsia="pl-PL"/>
              </w:rPr>
              <w:t>54,44%</w:t>
            </w:r>
          </w:p>
        </w:tc>
      </w:tr>
      <w:tr w:rsidR="00D402AF" w:rsidRPr="002906D1" w14:paraId="25BBE357" w14:textId="77777777" w:rsidTr="002906D1">
        <w:trPr>
          <w:trHeight w:val="248"/>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BF82" w14:textId="77777777" w:rsidR="00D402AF" w:rsidRPr="002906D1" w:rsidRDefault="00D402AF" w:rsidP="00D402AF">
            <w:pPr>
              <w:spacing w:after="0" w:line="240" w:lineRule="auto"/>
              <w:rPr>
                <w:rFonts w:ascii="Times New Roman" w:eastAsia="Times New Roman" w:hAnsi="Times New Roman"/>
                <w:sz w:val="20"/>
                <w:szCs w:val="20"/>
                <w:lang w:eastAsia="pl-PL"/>
              </w:rPr>
            </w:pPr>
            <w:r w:rsidRPr="002906D1">
              <w:rPr>
                <w:rFonts w:ascii="Times New Roman" w:eastAsia="Times New Roman" w:hAnsi="Times New Roman"/>
                <w:sz w:val="20"/>
                <w:szCs w:val="20"/>
                <w:lang w:eastAsia="pl-PL"/>
              </w:rPr>
              <w:t>lokaty międzybankowe/obligo kredytowe</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75767F79" w14:textId="68D41875" w:rsidR="00D402AF" w:rsidRPr="002906D1" w:rsidRDefault="00D402AF" w:rsidP="00D402AF">
            <w:pPr>
              <w:spacing w:after="0" w:line="240" w:lineRule="auto"/>
              <w:jc w:val="center"/>
              <w:rPr>
                <w:rFonts w:ascii="Times New Roman" w:eastAsia="Times New Roman" w:hAnsi="Times New Roman"/>
                <w:color w:val="000000"/>
                <w:sz w:val="20"/>
                <w:szCs w:val="20"/>
                <w:lang w:eastAsia="pl-PL"/>
              </w:rPr>
            </w:pPr>
            <w:r w:rsidRPr="002906D1">
              <w:rPr>
                <w:rFonts w:ascii="Times New Roman" w:eastAsia="Times New Roman" w:hAnsi="Times New Roman"/>
                <w:sz w:val="20"/>
                <w:szCs w:val="20"/>
                <w:lang w:eastAsia="pl-PL"/>
              </w:rPr>
              <w:t>129,74%</w:t>
            </w:r>
          </w:p>
        </w:tc>
        <w:tc>
          <w:tcPr>
            <w:tcW w:w="988" w:type="dxa"/>
            <w:tcBorders>
              <w:top w:val="nil"/>
              <w:left w:val="nil"/>
              <w:bottom w:val="single" w:sz="4" w:space="0" w:color="auto"/>
              <w:right w:val="single" w:sz="4" w:space="0" w:color="FFFFFF"/>
            </w:tcBorders>
            <w:shd w:val="clear" w:color="auto" w:fill="auto"/>
            <w:noWrap/>
            <w:vAlign w:val="center"/>
            <w:hideMark/>
          </w:tcPr>
          <w:p w14:paraId="5E052E4E"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min.</w:t>
            </w:r>
          </w:p>
        </w:tc>
        <w:tc>
          <w:tcPr>
            <w:tcW w:w="857" w:type="dxa"/>
            <w:tcBorders>
              <w:top w:val="nil"/>
              <w:left w:val="nil"/>
              <w:bottom w:val="single" w:sz="4" w:space="0" w:color="auto"/>
              <w:right w:val="single" w:sz="4" w:space="0" w:color="auto"/>
            </w:tcBorders>
            <w:shd w:val="clear" w:color="auto" w:fill="auto"/>
            <w:noWrap/>
            <w:vAlign w:val="center"/>
            <w:hideMark/>
          </w:tcPr>
          <w:p w14:paraId="07CE4F2A"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10BFB628" w14:textId="7B53B004" w:rsidR="00D402AF" w:rsidRPr="002906D1" w:rsidRDefault="00D402AF" w:rsidP="00D402AF">
            <w:pPr>
              <w:spacing w:after="0" w:line="240" w:lineRule="auto"/>
              <w:jc w:val="right"/>
              <w:rPr>
                <w:rFonts w:ascii="Times New Roman" w:hAnsi="Times New Roman"/>
                <w:color w:val="000000"/>
                <w:sz w:val="20"/>
                <w:szCs w:val="20"/>
              </w:rPr>
            </w:pPr>
            <w:r w:rsidRPr="002906D1">
              <w:rPr>
                <w:rFonts w:ascii="Times New Roman" w:eastAsia="Times New Roman" w:hAnsi="Times New Roman"/>
                <w:sz w:val="20"/>
                <w:szCs w:val="20"/>
                <w:lang w:eastAsia="pl-PL"/>
              </w:rPr>
              <w:t>324,36%</w:t>
            </w:r>
          </w:p>
        </w:tc>
      </w:tr>
      <w:tr w:rsidR="00D402AF" w:rsidRPr="002906D1" w14:paraId="66EDC222" w14:textId="77777777" w:rsidTr="002906D1">
        <w:trPr>
          <w:trHeight w:val="248"/>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4D09" w14:textId="77777777" w:rsidR="00D402AF" w:rsidRPr="002906D1" w:rsidRDefault="00D402AF" w:rsidP="00D402AF">
            <w:pPr>
              <w:spacing w:after="0" w:line="240" w:lineRule="auto"/>
              <w:rPr>
                <w:rFonts w:ascii="Times New Roman" w:eastAsia="Times New Roman" w:hAnsi="Times New Roman"/>
                <w:sz w:val="20"/>
                <w:szCs w:val="20"/>
                <w:lang w:eastAsia="pl-PL"/>
              </w:rPr>
            </w:pPr>
            <w:r w:rsidRPr="002906D1">
              <w:rPr>
                <w:rFonts w:ascii="Times New Roman" w:eastAsia="Times New Roman" w:hAnsi="Times New Roman"/>
                <w:sz w:val="20"/>
                <w:szCs w:val="20"/>
                <w:lang w:eastAsia="pl-PL"/>
              </w:rPr>
              <w:t>Koncentracja bazy depozytowej (%)</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29E8AFF4" w14:textId="4866802B" w:rsidR="00D402AF" w:rsidRPr="002906D1" w:rsidRDefault="00D402AF" w:rsidP="00D402AF">
            <w:pPr>
              <w:spacing w:after="0" w:line="240" w:lineRule="auto"/>
              <w:jc w:val="center"/>
              <w:rPr>
                <w:rFonts w:ascii="Times New Roman" w:eastAsia="Times New Roman" w:hAnsi="Times New Roman"/>
                <w:color w:val="000000"/>
                <w:sz w:val="20"/>
                <w:szCs w:val="20"/>
                <w:lang w:eastAsia="pl-PL"/>
              </w:rPr>
            </w:pPr>
            <w:r w:rsidRPr="002906D1">
              <w:rPr>
                <w:rFonts w:ascii="Times New Roman" w:eastAsia="Times New Roman" w:hAnsi="Times New Roman"/>
                <w:sz w:val="20"/>
                <w:szCs w:val="20"/>
                <w:lang w:eastAsia="pl-PL"/>
              </w:rPr>
              <w:t>31,62%</w:t>
            </w:r>
          </w:p>
        </w:tc>
        <w:tc>
          <w:tcPr>
            <w:tcW w:w="988" w:type="dxa"/>
            <w:tcBorders>
              <w:top w:val="nil"/>
              <w:left w:val="nil"/>
              <w:bottom w:val="single" w:sz="4" w:space="0" w:color="auto"/>
              <w:right w:val="single" w:sz="4" w:space="0" w:color="FFFFFF"/>
            </w:tcBorders>
            <w:shd w:val="clear" w:color="auto" w:fill="auto"/>
            <w:noWrap/>
            <w:vAlign w:val="center"/>
            <w:hideMark/>
          </w:tcPr>
          <w:p w14:paraId="5EB2FBAE"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136E2C76"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25,00%</w:t>
            </w:r>
          </w:p>
        </w:tc>
        <w:tc>
          <w:tcPr>
            <w:tcW w:w="1276" w:type="dxa"/>
            <w:tcBorders>
              <w:top w:val="nil"/>
              <w:left w:val="nil"/>
              <w:bottom w:val="single" w:sz="4" w:space="0" w:color="auto"/>
              <w:right w:val="single" w:sz="4" w:space="0" w:color="auto"/>
            </w:tcBorders>
            <w:shd w:val="clear" w:color="auto" w:fill="auto"/>
            <w:noWrap/>
            <w:vAlign w:val="center"/>
            <w:hideMark/>
          </w:tcPr>
          <w:p w14:paraId="04AC7413" w14:textId="5F77DA8A" w:rsidR="00D402AF" w:rsidRPr="002906D1" w:rsidRDefault="00D402AF" w:rsidP="00D402AF">
            <w:pPr>
              <w:spacing w:after="0" w:line="240" w:lineRule="auto"/>
              <w:jc w:val="right"/>
              <w:rPr>
                <w:rFonts w:ascii="Times New Roman" w:hAnsi="Times New Roman"/>
                <w:color w:val="000000"/>
                <w:sz w:val="20"/>
                <w:szCs w:val="20"/>
              </w:rPr>
            </w:pPr>
            <w:r w:rsidRPr="002906D1">
              <w:rPr>
                <w:rFonts w:ascii="Times New Roman" w:eastAsia="Times New Roman" w:hAnsi="Times New Roman"/>
                <w:sz w:val="20"/>
                <w:szCs w:val="20"/>
                <w:lang w:eastAsia="pl-PL"/>
              </w:rPr>
              <w:t>126,48%</w:t>
            </w:r>
          </w:p>
        </w:tc>
      </w:tr>
      <w:tr w:rsidR="00D402AF" w:rsidRPr="002906D1" w14:paraId="5BE0AB23" w14:textId="77777777" w:rsidTr="002906D1">
        <w:trPr>
          <w:trHeight w:val="248"/>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8C42" w14:textId="77777777" w:rsidR="00D402AF" w:rsidRPr="002906D1" w:rsidRDefault="00D402AF" w:rsidP="00D402AF">
            <w:pPr>
              <w:spacing w:after="0" w:line="240" w:lineRule="auto"/>
              <w:rPr>
                <w:rFonts w:ascii="Times New Roman" w:eastAsia="Times New Roman" w:hAnsi="Times New Roman"/>
                <w:sz w:val="20"/>
                <w:szCs w:val="20"/>
                <w:lang w:eastAsia="pl-PL"/>
              </w:rPr>
            </w:pPr>
            <w:r w:rsidRPr="002906D1">
              <w:rPr>
                <w:rFonts w:ascii="Times New Roman" w:eastAsia="Times New Roman" w:hAnsi="Times New Roman"/>
                <w:sz w:val="20"/>
                <w:szCs w:val="20"/>
                <w:lang w:eastAsia="pl-PL"/>
              </w:rPr>
              <w:t>zobowiązania pozabilansowe/ aktywa netto</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0436B58E" w14:textId="54963005" w:rsidR="00D402AF" w:rsidRPr="002906D1" w:rsidRDefault="00D402AF" w:rsidP="00D402AF">
            <w:pPr>
              <w:spacing w:after="0" w:line="240" w:lineRule="auto"/>
              <w:jc w:val="center"/>
              <w:rPr>
                <w:rFonts w:ascii="Times New Roman" w:eastAsia="Times New Roman" w:hAnsi="Times New Roman"/>
                <w:color w:val="000000"/>
                <w:sz w:val="20"/>
                <w:szCs w:val="20"/>
                <w:lang w:eastAsia="pl-PL"/>
              </w:rPr>
            </w:pPr>
            <w:r w:rsidRPr="002906D1">
              <w:rPr>
                <w:rFonts w:ascii="Times New Roman" w:eastAsia="Times New Roman" w:hAnsi="Times New Roman"/>
                <w:sz w:val="20"/>
                <w:szCs w:val="20"/>
                <w:lang w:eastAsia="pl-PL"/>
              </w:rPr>
              <w:t>5,69%</w:t>
            </w:r>
          </w:p>
        </w:tc>
        <w:tc>
          <w:tcPr>
            <w:tcW w:w="988" w:type="dxa"/>
            <w:tcBorders>
              <w:top w:val="nil"/>
              <w:left w:val="nil"/>
              <w:bottom w:val="single" w:sz="4" w:space="0" w:color="auto"/>
              <w:right w:val="single" w:sz="4" w:space="0" w:color="FFFFFF"/>
            </w:tcBorders>
            <w:shd w:val="clear" w:color="auto" w:fill="auto"/>
            <w:noWrap/>
            <w:vAlign w:val="center"/>
            <w:hideMark/>
          </w:tcPr>
          <w:p w14:paraId="41DFB757"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3E896BA2"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38F2F653" w14:textId="07E67217" w:rsidR="00D402AF" w:rsidRPr="002906D1" w:rsidRDefault="00D402AF" w:rsidP="00D402AF">
            <w:pPr>
              <w:spacing w:after="0" w:line="240" w:lineRule="auto"/>
              <w:jc w:val="right"/>
              <w:rPr>
                <w:rFonts w:ascii="Times New Roman" w:hAnsi="Times New Roman"/>
                <w:color w:val="000000"/>
                <w:sz w:val="20"/>
                <w:szCs w:val="20"/>
              </w:rPr>
            </w:pPr>
            <w:r w:rsidRPr="002906D1">
              <w:rPr>
                <w:rFonts w:ascii="Times New Roman" w:eastAsia="Times New Roman" w:hAnsi="Times New Roman"/>
                <w:sz w:val="20"/>
                <w:szCs w:val="20"/>
                <w:lang w:eastAsia="pl-PL"/>
              </w:rPr>
              <w:t>37,96%</w:t>
            </w:r>
          </w:p>
        </w:tc>
      </w:tr>
      <w:tr w:rsidR="00D402AF" w:rsidRPr="002906D1" w14:paraId="34C7B617" w14:textId="77777777" w:rsidTr="002906D1">
        <w:trPr>
          <w:trHeight w:val="242"/>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4783" w14:textId="77777777" w:rsidR="00D402AF" w:rsidRPr="002906D1" w:rsidRDefault="00D402AF" w:rsidP="00D402AF">
            <w:pPr>
              <w:spacing w:after="0" w:line="240" w:lineRule="auto"/>
              <w:rPr>
                <w:rFonts w:ascii="Times New Roman" w:eastAsia="Times New Roman" w:hAnsi="Times New Roman"/>
                <w:sz w:val="20"/>
                <w:szCs w:val="20"/>
                <w:lang w:eastAsia="pl-PL"/>
              </w:rPr>
            </w:pPr>
            <w:r w:rsidRPr="002906D1">
              <w:rPr>
                <w:rFonts w:ascii="Times New Roman" w:eastAsia="Times New Roman" w:hAnsi="Times New Roman"/>
                <w:sz w:val="20"/>
                <w:szCs w:val="20"/>
                <w:lang w:eastAsia="pl-PL"/>
              </w:rPr>
              <w:t>współczynnik osadu</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0DAE1C15" w14:textId="0FB7FD3D" w:rsidR="00D402AF" w:rsidRPr="002906D1" w:rsidRDefault="00D402AF" w:rsidP="00D402AF">
            <w:pPr>
              <w:spacing w:after="0" w:line="240" w:lineRule="auto"/>
              <w:jc w:val="center"/>
              <w:rPr>
                <w:rFonts w:ascii="Times New Roman" w:eastAsia="Times New Roman" w:hAnsi="Times New Roman"/>
                <w:color w:val="000000"/>
                <w:sz w:val="20"/>
                <w:szCs w:val="20"/>
                <w:lang w:eastAsia="pl-PL"/>
              </w:rPr>
            </w:pPr>
            <w:r w:rsidRPr="002906D1">
              <w:rPr>
                <w:rFonts w:ascii="Times New Roman" w:eastAsia="Times New Roman" w:hAnsi="Times New Roman"/>
                <w:sz w:val="20"/>
                <w:szCs w:val="20"/>
                <w:lang w:eastAsia="pl-PL"/>
              </w:rPr>
              <w:t>66,83%</w:t>
            </w:r>
          </w:p>
        </w:tc>
        <w:tc>
          <w:tcPr>
            <w:tcW w:w="988" w:type="dxa"/>
            <w:tcBorders>
              <w:top w:val="nil"/>
              <w:left w:val="nil"/>
              <w:bottom w:val="single" w:sz="4" w:space="0" w:color="auto"/>
              <w:right w:val="single" w:sz="4" w:space="0" w:color="FFFFFF"/>
            </w:tcBorders>
            <w:shd w:val="clear" w:color="auto" w:fill="auto"/>
            <w:noWrap/>
            <w:vAlign w:val="center"/>
            <w:hideMark/>
          </w:tcPr>
          <w:p w14:paraId="6B77FC8F" w14:textId="4D431AE3"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min.</w:t>
            </w:r>
          </w:p>
        </w:tc>
        <w:tc>
          <w:tcPr>
            <w:tcW w:w="857" w:type="dxa"/>
            <w:tcBorders>
              <w:top w:val="nil"/>
              <w:left w:val="nil"/>
              <w:bottom w:val="single" w:sz="4" w:space="0" w:color="auto"/>
              <w:right w:val="single" w:sz="4" w:space="0" w:color="auto"/>
            </w:tcBorders>
            <w:shd w:val="clear" w:color="auto" w:fill="auto"/>
            <w:noWrap/>
            <w:vAlign w:val="center"/>
            <w:hideMark/>
          </w:tcPr>
          <w:p w14:paraId="7520FD38"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55,00%</w:t>
            </w:r>
          </w:p>
        </w:tc>
        <w:tc>
          <w:tcPr>
            <w:tcW w:w="1276" w:type="dxa"/>
            <w:tcBorders>
              <w:top w:val="nil"/>
              <w:left w:val="nil"/>
              <w:bottom w:val="single" w:sz="4" w:space="0" w:color="auto"/>
              <w:right w:val="single" w:sz="4" w:space="0" w:color="auto"/>
            </w:tcBorders>
            <w:shd w:val="clear" w:color="auto" w:fill="auto"/>
            <w:noWrap/>
            <w:vAlign w:val="center"/>
            <w:hideMark/>
          </w:tcPr>
          <w:p w14:paraId="0D9F568A" w14:textId="38799D5F" w:rsidR="00D402AF" w:rsidRPr="002906D1" w:rsidRDefault="00D402AF" w:rsidP="00D402AF">
            <w:pPr>
              <w:spacing w:after="0" w:line="240" w:lineRule="auto"/>
              <w:jc w:val="right"/>
              <w:rPr>
                <w:rFonts w:ascii="Times New Roman" w:hAnsi="Times New Roman"/>
                <w:color w:val="000000"/>
                <w:sz w:val="20"/>
                <w:szCs w:val="20"/>
              </w:rPr>
            </w:pPr>
            <w:r w:rsidRPr="002906D1">
              <w:rPr>
                <w:rFonts w:ascii="Times New Roman" w:eastAsia="Times New Roman" w:hAnsi="Times New Roman"/>
                <w:sz w:val="20"/>
                <w:szCs w:val="20"/>
                <w:lang w:eastAsia="pl-PL"/>
              </w:rPr>
              <w:t>121,51%</w:t>
            </w:r>
          </w:p>
        </w:tc>
      </w:tr>
      <w:tr w:rsidR="00D402AF" w:rsidRPr="002906D1" w14:paraId="4E01E1F0" w14:textId="77777777" w:rsidTr="002906D1">
        <w:trPr>
          <w:trHeight w:val="484"/>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4E8B" w14:textId="77777777" w:rsidR="00D402AF" w:rsidRPr="002906D1" w:rsidRDefault="00D402AF" w:rsidP="00D402AF">
            <w:pPr>
              <w:spacing w:after="0" w:line="240" w:lineRule="auto"/>
              <w:rPr>
                <w:rFonts w:ascii="Times New Roman" w:eastAsia="Times New Roman" w:hAnsi="Times New Roman"/>
                <w:sz w:val="20"/>
                <w:szCs w:val="20"/>
                <w:lang w:eastAsia="pl-PL"/>
              </w:rPr>
            </w:pPr>
            <w:r w:rsidRPr="002906D1">
              <w:rPr>
                <w:rFonts w:ascii="Times New Roman" w:eastAsia="Times New Roman" w:hAnsi="Times New Roman"/>
                <w:sz w:val="20"/>
                <w:szCs w:val="20"/>
                <w:lang w:eastAsia="pl-PL"/>
              </w:rPr>
              <w:t>kredyty długoterminowe /stabilna baza depozytowa</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0DC7368E" w14:textId="23C95606" w:rsidR="00D402AF" w:rsidRPr="002906D1" w:rsidRDefault="00D402AF" w:rsidP="00D402AF">
            <w:pPr>
              <w:spacing w:after="0" w:line="240" w:lineRule="auto"/>
              <w:jc w:val="center"/>
              <w:rPr>
                <w:rFonts w:ascii="Times New Roman" w:eastAsia="Times New Roman" w:hAnsi="Times New Roman"/>
                <w:color w:val="000000"/>
                <w:sz w:val="20"/>
                <w:szCs w:val="20"/>
                <w:lang w:eastAsia="pl-PL"/>
              </w:rPr>
            </w:pPr>
            <w:r w:rsidRPr="002906D1">
              <w:rPr>
                <w:rFonts w:ascii="Times New Roman" w:eastAsia="Times New Roman" w:hAnsi="Times New Roman"/>
                <w:sz w:val="20"/>
                <w:szCs w:val="20"/>
                <w:lang w:eastAsia="pl-PL"/>
              </w:rPr>
              <w:t>28,43%</w:t>
            </w:r>
          </w:p>
        </w:tc>
        <w:tc>
          <w:tcPr>
            <w:tcW w:w="988" w:type="dxa"/>
            <w:tcBorders>
              <w:top w:val="nil"/>
              <w:left w:val="nil"/>
              <w:bottom w:val="single" w:sz="4" w:space="0" w:color="auto"/>
              <w:right w:val="single" w:sz="4" w:space="0" w:color="FFFFFF"/>
            </w:tcBorders>
            <w:shd w:val="clear" w:color="auto" w:fill="auto"/>
            <w:noWrap/>
            <w:vAlign w:val="center"/>
            <w:hideMark/>
          </w:tcPr>
          <w:p w14:paraId="2E84A3A1"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31863141" w14:textId="77777777"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45,00%</w:t>
            </w:r>
          </w:p>
        </w:tc>
        <w:tc>
          <w:tcPr>
            <w:tcW w:w="1276" w:type="dxa"/>
            <w:tcBorders>
              <w:top w:val="nil"/>
              <w:left w:val="nil"/>
              <w:bottom w:val="single" w:sz="4" w:space="0" w:color="auto"/>
              <w:right w:val="single" w:sz="4" w:space="0" w:color="auto"/>
            </w:tcBorders>
            <w:shd w:val="clear" w:color="auto" w:fill="auto"/>
            <w:noWrap/>
            <w:vAlign w:val="center"/>
            <w:hideMark/>
          </w:tcPr>
          <w:p w14:paraId="041C5552" w14:textId="3CE82DE0" w:rsidR="00D402AF" w:rsidRPr="002906D1" w:rsidRDefault="00D402AF" w:rsidP="00D402AF">
            <w:pPr>
              <w:spacing w:after="0" w:line="240" w:lineRule="auto"/>
              <w:jc w:val="right"/>
              <w:rPr>
                <w:rFonts w:ascii="Times New Roman" w:hAnsi="Times New Roman"/>
                <w:color w:val="000000"/>
                <w:sz w:val="20"/>
                <w:szCs w:val="20"/>
              </w:rPr>
            </w:pPr>
            <w:r w:rsidRPr="002906D1">
              <w:rPr>
                <w:rFonts w:ascii="Times New Roman" w:eastAsia="Times New Roman" w:hAnsi="Times New Roman"/>
                <w:sz w:val="20"/>
                <w:szCs w:val="20"/>
                <w:lang w:eastAsia="pl-PL"/>
              </w:rPr>
              <w:t>63,18%</w:t>
            </w:r>
          </w:p>
        </w:tc>
      </w:tr>
      <w:tr w:rsidR="00D402AF" w:rsidRPr="002906D1" w14:paraId="2A31874A" w14:textId="77777777" w:rsidTr="002906D1">
        <w:trPr>
          <w:trHeight w:val="484"/>
          <w:jc w:val="center"/>
        </w:trPr>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6534B0CB" w14:textId="1C120E67" w:rsidR="00D402AF" w:rsidRPr="002906D1" w:rsidRDefault="00D402AF" w:rsidP="00D402AF">
            <w:pPr>
              <w:spacing w:after="0" w:line="240" w:lineRule="auto"/>
              <w:rPr>
                <w:rFonts w:ascii="Times New Roman" w:eastAsia="Times New Roman" w:hAnsi="Times New Roman"/>
                <w:sz w:val="20"/>
                <w:szCs w:val="20"/>
                <w:lang w:eastAsia="pl-PL"/>
              </w:rPr>
            </w:pPr>
            <w:r w:rsidRPr="002906D1">
              <w:rPr>
                <w:rFonts w:ascii="Times New Roman" w:eastAsia="Times New Roman" w:hAnsi="Times New Roman"/>
                <w:sz w:val="20"/>
                <w:szCs w:val="20"/>
                <w:lang w:eastAsia="pl-PL"/>
              </w:rPr>
              <w:t>Średnia wartość depozytów stabilnych/średnia wartość obliga kredytowego</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466D5" w14:textId="5B9E56DB" w:rsidR="00D402AF" w:rsidRPr="002906D1" w:rsidRDefault="00D402AF" w:rsidP="00D402AF">
            <w:pPr>
              <w:spacing w:after="0" w:line="240" w:lineRule="auto"/>
              <w:jc w:val="center"/>
              <w:rPr>
                <w:rFonts w:ascii="Times New Roman" w:eastAsia="Times New Roman" w:hAnsi="Times New Roman"/>
                <w:color w:val="000000"/>
                <w:sz w:val="20"/>
                <w:szCs w:val="20"/>
                <w:lang w:eastAsia="pl-PL"/>
              </w:rPr>
            </w:pPr>
            <w:r w:rsidRPr="002906D1">
              <w:rPr>
                <w:rFonts w:ascii="Times New Roman" w:eastAsia="Times New Roman" w:hAnsi="Times New Roman"/>
                <w:sz w:val="20"/>
                <w:szCs w:val="20"/>
                <w:lang w:eastAsia="pl-PL"/>
              </w:rPr>
              <w:t>146,90%</w:t>
            </w:r>
          </w:p>
        </w:tc>
        <w:tc>
          <w:tcPr>
            <w:tcW w:w="988" w:type="dxa"/>
            <w:tcBorders>
              <w:top w:val="single" w:sz="4" w:space="0" w:color="auto"/>
              <w:left w:val="nil"/>
              <w:bottom w:val="single" w:sz="4" w:space="0" w:color="auto"/>
              <w:right w:val="single" w:sz="4" w:space="0" w:color="FFFFFF"/>
            </w:tcBorders>
            <w:shd w:val="clear" w:color="auto" w:fill="auto"/>
            <w:noWrap/>
            <w:vAlign w:val="center"/>
          </w:tcPr>
          <w:p w14:paraId="4519A24A" w14:textId="7B9A0696"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min.</w:t>
            </w:r>
          </w:p>
        </w:tc>
        <w:tc>
          <w:tcPr>
            <w:tcW w:w="857" w:type="dxa"/>
            <w:tcBorders>
              <w:top w:val="single" w:sz="4" w:space="0" w:color="auto"/>
              <w:left w:val="nil"/>
              <w:bottom w:val="single" w:sz="4" w:space="0" w:color="auto"/>
              <w:right w:val="single" w:sz="4" w:space="0" w:color="auto"/>
            </w:tcBorders>
            <w:shd w:val="clear" w:color="auto" w:fill="auto"/>
            <w:noWrap/>
            <w:vAlign w:val="center"/>
          </w:tcPr>
          <w:p w14:paraId="0373D178" w14:textId="6E94748D" w:rsidR="00D402AF" w:rsidRPr="002906D1" w:rsidRDefault="00D402AF" w:rsidP="00D402AF">
            <w:pPr>
              <w:spacing w:after="0" w:line="240" w:lineRule="auto"/>
              <w:jc w:val="right"/>
              <w:rPr>
                <w:rFonts w:ascii="Times New Roman" w:eastAsia="Times New Roman" w:hAnsi="Times New Roman"/>
                <w:color w:val="000000"/>
                <w:sz w:val="20"/>
                <w:szCs w:val="20"/>
                <w:lang w:eastAsia="pl-PL"/>
              </w:rPr>
            </w:pPr>
            <w:r w:rsidRPr="002906D1">
              <w:rPr>
                <w:rFonts w:ascii="Times New Roman" w:eastAsia="Times New Roman" w:hAnsi="Times New Roman"/>
                <w:color w:val="000000"/>
                <w:sz w:val="20"/>
                <w:szCs w:val="20"/>
                <w:lang w:eastAsia="pl-PL"/>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37A13E" w14:textId="2DD99DD6" w:rsidR="00D402AF" w:rsidRPr="002906D1" w:rsidRDefault="00D402AF" w:rsidP="00D402AF">
            <w:pPr>
              <w:spacing w:after="0" w:line="240" w:lineRule="auto"/>
              <w:jc w:val="right"/>
              <w:rPr>
                <w:rFonts w:ascii="Times New Roman" w:hAnsi="Times New Roman"/>
                <w:color w:val="000000"/>
                <w:sz w:val="20"/>
                <w:szCs w:val="20"/>
              </w:rPr>
            </w:pPr>
            <w:r w:rsidRPr="002906D1">
              <w:rPr>
                <w:rFonts w:ascii="Times New Roman" w:eastAsia="Times New Roman" w:hAnsi="Times New Roman"/>
                <w:sz w:val="20"/>
                <w:szCs w:val="20"/>
                <w:lang w:eastAsia="pl-PL"/>
              </w:rPr>
              <w:t>146,90%</w:t>
            </w:r>
          </w:p>
        </w:tc>
      </w:tr>
    </w:tbl>
    <w:p w14:paraId="3945820A" w14:textId="77777777" w:rsidR="00A924BB" w:rsidRPr="005E7617" w:rsidRDefault="00A924BB" w:rsidP="00A924BB">
      <w:pPr>
        <w:pStyle w:val="Akapitzlist"/>
        <w:spacing w:after="0"/>
        <w:ind w:left="2160"/>
        <w:jc w:val="both"/>
        <w:rPr>
          <w:rFonts w:ascii="Times New Roman" w:hAnsi="Times New Roman"/>
          <w:b/>
          <w:sz w:val="20"/>
          <w:szCs w:val="20"/>
        </w:rPr>
      </w:pPr>
    </w:p>
    <w:p w14:paraId="6D83F379" w14:textId="77777777" w:rsidR="00D402AF" w:rsidRDefault="00D402AF" w:rsidP="005E7617">
      <w:pPr>
        <w:spacing w:after="0"/>
        <w:jc w:val="both"/>
        <w:rPr>
          <w:rFonts w:ascii="Times New Roman" w:hAnsi="Times New Roman"/>
        </w:rPr>
      </w:pPr>
    </w:p>
    <w:p w14:paraId="2B657136" w14:textId="77777777" w:rsidR="00D402AF" w:rsidRDefault="00D402AF" w:rsidP="00D402AF">
      <w:pPr>
        <w:spacing w:before="100" w:beforeAutospacing="1" w:after="0"/>
        <w:rPr>
          <w:rFonts w:ascii="Times New Roman" w:eastAsia="Times New Roman" w:hAnsi="Times New Roman" w:cs="Times New Roman"/>
          <w:color w:val="000000"/>
          <w:sz w:val="20"/>
          <w:szCs w:val="20"/>
          <w:lang w:eastAsia="pl-PL"/>
        </w:rPr>
      </w:pPr>
      <w:r w:rsidRPr="00D402AF">
        <w:rPr>
          <w:rFonts w:ascii="Times New Roman" w:eastAsia="Times New Roman" w:hAnsi="Times New Roman" w:cs="Times New Roman"/>
          <w:color w:val="000000"/>
          <w:sz w:val="20"/>
          <w:szCs w:val="20"/>
          <w:lang w:eastAsia="pl-PL"/>
        </w:rPr>
        <w:t>Bank zgodnie z Rozporządzeniem 573/2013 z dn. 26.06.2013r. ocenia pozycję w zakresie ryzyka płynności na podstawie przepływów pieniężnych z tytułu aktywów i pasywów, tak by zapewnić pokrycie środkami stabilnymi odpływów pomniejszonych o przypływy w okresie 30 dni w sytuacji awaryjnej (LCR). Na dzień analizy tj. 31.12</w:t>
      </w:r>
      <w:r>
        <w:rPr>
          <w:rFonts w:ascii="Times New Roman" w:eastAsia="Times New Roman" w:hAnsi="Times New Roman" w:cs="Times New Roman"/>
          <w:color w:val="000000"/>
          <w:sz w:val="20"/>
          <w:szCs w:val="20"/>
          <w:lang w:eastAsia="pl-PL"/>
        </w:rPr>
        <w:t>.2019r. wskaźnik ten wynosi 3,10 tzn. jest wyższy od wymaganego minimum, które wynosi 1,00</w:t>
      </w:r>
      <w:r w:rsidRPr="00D402AF">
        <w:rPr>
          <w:rFonts w:ascii="Times New Roman" w:eastAsia="Times New Roman" w:hAnsi="Times New Roman" w:cs="Times New Roman"/>
          <w:color w:val="000000"/>
          <w:sz w:val="20"/>
          <w:szCs w:val="20"/>
          <w:lang w:eastAsia="pl-PL"/>
        </w:rPr>
        <w:t>.</w:t>
      </w:r>
    </w:p>
    <w:p w14:paraId="67CB6169" w14:textId="77777777" w:rsidR="00D402AF" w:rsidRPr="00D402AF" w:rsidRDefault="00D402AF" w:rsidP="00D402AF">
      <w:pPr>
        <w:spacing w:before="100" w:beforeAutospacing="1" w:after="0"/>
        <w:rPr>
          <w:rFonts w:ascii="Times New Roman" w:eastAsia="Times New Roman" w:hAnsi="Times New Roman" w:cs="Times New Roman"/>
          <w:color w:val="000000"/>
          <w:sz w:val="24"/>
          <w:szCs w:val="24"/>
          <w:lang w:eastAsia="pl-PL"/>
        </w:rPr>
      </w:pPr>
      <w:r w:rsidRPr="00D402AF">
        <w:rPr>
          <w:rFonts w:ascii="Times New Roman" w:eastAsia="Times New Roman" w:hAnsi="Times New Roman" w:cs="Times New Roman"/>
          <w:color w:val="000000"/>
          <w:sz w:val="20"/>
          <w:szCs w:val="20"/>
          <w:lang w:eastAsia="pl-PL"/>
        </w:rPr>
        <w:t xml:space="preserve"> </w:t>
      </w:r>
    </w:p>
    <w:tbl>
      <w:tblPr>
        <w:tblStyle w:val="Tabela-Siatka"/>
        <w:tblW w:w="0" w:type="auto"/>
        <w:tblInd w:w="1555" w:type="dxa"/>
        <w:tblLook w:val="04A0" w:firstRow="1" w:lastRow="0" w:firstColumn="1" w:lastColumn="0" w:noHBand="0" w:noVBand="1"/>
      </w:tblPr>
      <w:tblGrid>
        <w:gridCol w:w="2830"/>
        <w:gridCol w:w="3828"/>
      </w:tblGrid>
      <w:tr w:rsidR="002906D1" w14:paraId="084D7D25" w14:textId="77777777" w:rsidTr="002906D1">
        <w:tc>
          <w:tcPr>
            <w:tcW w:w="2830" w:type="dxa"/>
          </w:tcPr>
          <w:p w14:paraId="4748BE91" w14:textId="2844B6B7" w:rsidR="002906D1" w:rsidRDefault="002906D1" w:rsidP="002906D1">
            <w:pPr>
              <w:jc w:val="both"/>
              <w:rPr>
                <w:rFonts w:ascii="Times New Roman" w:hAnsi="Times New Roman"/>
              </w:rPr>
            </w:pPr>
            <w:r w:rsidRPr="00D402AF">
              <w:rPr>
                <w:rFonts w:ascii="Times New Roman" w:eastAsia="Times New Roman" w:hAnsi="Times New Roman" w:cs="Times New Roman"/>
                <w:b/>
                <w:bCs/>
                <w:color w:val="000000"/>
                <w:sz w:val="20"/>
                <w:szCs w:val="20"/>
                <w:lang w:eastAsia="pl-PL"/>
              </w:rPr>
              <w:t>Wyszczególnienie</w:t>
            </w:r>
          </w:p>
        </w:tc>
        <w:tc>
          <w:tcPr>
            <w:tcW w:w="3828" w:type="dxa"/>
          </w:tcPr>
          <w:p w14:paraId="4CC3A2E8" w14:textId="6F2252B5" w:rsidR="002906D1" w:rsidRDefault="002906D1" w:rsidP="002906D1">
            <w:pPr>
              <w:jc w:val="center"/>
              <w:rPr>
                <w:rFonts w:ascii="Times New Roman" w:hAnsi="Times New Roman"/>
              </w:rPr>
            </w:pPr>
            <w:r w:rsidRPr="00D402AF">
              <w:rPr>
                <w:rFonts w:ascii="Times New Roman" w:eastAsia="Times New Roman" w:hAnsi="Times New Roman" w:cs="Times New Roman"/>
                <w:b/>
                <w:bCs/>
                <w:color w:val="000000"/>
                <w:sz w:val="20"/>
                <w:szCs w:val="20"/>
                <w:lang w:eastAsia="pl-PL"/>
              </w:rPr>
              <w:t>31.12.2019</w:t>
            </w:r>
          </w:p>
        </w:tc>
      </w:tr>
      <w:tr w:rsidR="002906D1" w14:paraId="580EC9CA" w14:textId="77777777" w:rsidTr="00580CA6">
        <w:tc>
          <w:tcPr>
            <w:tcW w:w="2830" w:type="dxa"/>
          </w:tcPr>
          <w:p w14:paraId="1FC6A645" w14:textId="12CBEDDB" w:rsidR="002906D1" w:rsidRDefault="002906D1" w:rsidP="002906D1">
            <w:pPr>
              <w:jc w:val="both"/>
              <w:rPr>
                <w:rFonts w:ascii="Times New Roman" w:hAnsi="Times New Roman"/>
              </w:rPr>
            </w:pPr>
            <w:r w:rsidRPr="00D402AF">
              <w:rPr>
                <w:rFonts w:ascii="Times New Roman" w:eastAsia="Times New Roman" w:hAnsi="Times New Roman" w:cs="Times New Roman"/>
                <w:color w:val="000000"/>
                <w:sz w:val="20"/>
                <w:szCs w:val="20"/>
                <w:lang w:eastAsia="pl-PL"/>
              </w:rPr>
              <w:t>Aktywa płynne</w:t>
            </w:r>
          </w:p>
        </w:tc>
        <w:tc>
          <w:tcPr>
            <w:tcW w:w="3828" w:type="dxa"/>
            <w:vAlign w:val="bottom"/>
          </w:tcPr>
          <w:p w14:paraId="22E576E4" w14:textId="3470A707" w:rsidR="002906D1" w:rsidRDefault="002906D1" w:rsidP="002906D1">
            <w:pPr>
              <w:jc w:val="center"/>
              <w:rPr>
                <w:rFonts w:ascii="Times New Roman" w:hAnsi="Times New Roman"/>
              </w:rPr>
            </w:pPr>
            <w:r w:rsidRPr="00D402AF">
              <w:rPr>
                <w:rFonts w:ascii="Times New Roman" w:eastAsia="Times New Roman" w:hAnsi="Times New Roman" w:cs="Times New Roman"/>
                <w:bCs/>
                <w:i/>
                <w:iCs/>
                <w:color w:val="000000"/>
                <w:sz w:val="20"/>
                <w:szCs w:val="20"/>
                <w:lang w:eastAsia="pl-PL"/>
              </w:rPr>
              <w:t>35 124 065</w:t>
            </w:r>
          </w:p>
        </w:tc>
      </w:tr>
      <w:tr w:rsidR="002906D1" w14:paraId="3F863D9F" w14:textId="77777777" w:rsidTr="00580CA6">
        <w:tc>
          <w:tcPr>
            <w:tcW w:w="2830" w:type="dxa"/>
          </w:tcPr>
          <w:p w14:paraId="4A6036BB" w14:textId="60C4816C" w:rsidR="002906D1" w:rsidRDefault="002906D1" w:rsidP="002906D1">
            <w:pPr>
              <w:jc w:val="both"/>
              <w:rPr>
                <w:rFonts w:ascii="Times New Roman" w:hAnsi="Times New Roman"/>
              </w:rPr>
            </w:pPr>
            <w:r w:rsidRPr="00D402AF">
              <w:rPr>
                <w:rFonts w:ascii="Times New Roman" w:eastAsia="Times New Roman" w:hAnsi="Times New Roman" w:cs="Times New Roman"/>
                <w:color w:val="000000"/>
                <w:sz w:val="20"/>
                <w:szCs w:val="20"/>
                <w:lang w:eastAsia="pl-PL"/>
              </w:rPr>
              <w:t xml:space="preserve">Wypływy </w:t>
            </w:r>
          </w:p>
        </w:tc>
        <w:tc>
          <w:tcPr>
            <w:tcW w:w="3828" w:type="dxa"/>
            <w:vAlign w:val="bottom"/>
          </w:tcPr>
          <w:p w14:paraId="6820706F" w14:textId="6DA5E9D1" w:rsidR="002906D1" w:rsidRDefault="002906D1" w:rsidP="002906D1">
            <w:pPr>
              <w:jc w:val="center"/>
              <w:rPr>
                <w:rFonts w:ascii="Times New Roman" w:hAnsi="Times New Roman"/>
              </w:rPr>
            </w:pPr>
            <w:r w:rsidRPr="00D402AF">
              <w:rPr>
                <w:rFonts w:ascii="Times New Roman" w:eastAsia="Times New Roman" w:hAnsi="Times New Roman" w:cs="Times New Roman"/>
                <w:bCs/>
                <w:i/>
                <w:iCs/>
                <w:color w:val="000000"/>
                <w:sz w:val="20"/>
                <w:szCs w:val="20"/>
                <w:lang w:eastAsia="pl-PL"/>
              </w:rPr>
              <w:t>15 460 253</w:t>
            </w:r>
          </w:p>
        </w:tc>
      </w:tr>
      <w:tr w:rsidR="002906D1" w14:paraId="455FE7AA" w14:textId="77777777" w:rsidTr="00580CA6">
        <w:tc>
          <w:tcPr>
            <w:tcW w:w="2830" w:type="dxa"/>
          </w:tcPr>
          <w:p w14:paraId="1BF6DACD" w14:textId="1107F21C" w:rsidR="002906D1" w:rsidRDefault="002906D1" w:rsidP="002906D1">
            <w:pPr>
              <w:jc w:val="both"/>
              <w:rPr>
                <w:rFonts w:ascii="Times New Roman" w:hAnsi="Times New Roman"/>
              </w:rPr>
            </w:pPr>
            <w:r w:rsidRPr="00D402AF">
              <w:rPr>
                <w:rFonts w:ascii="Times New Roman" w:eastAsia="Times New Roman" w:hAnsi="Times New Roman" w:cs="Times New Roman"/>
                <w:color w:val="000000"/>
                <w:sz w:val="20"/>
                <w:szCs w:val="20"/>
                <w:lang w:eastAsia="pl-PL"/>
              </w:rPr>
              <w:t xml:space="preserve">Wpływy </w:t>
            </w:r>
          </w:p>
        </w:tc>
        <w:tc>
          <w:tcPr>
            <w:tcW w:w="3828" w:type="dxa"/>
            <w:vAlign w:val="bottom"/>
          </w:tcPr>
          <w:p w14:paraId="68349C5F" w14:textId="78DFE752" w:rsidR="002906D1" w:rsidRDefault="002906D1" w:rsidP="002906D1">
            <w:pPr>
              <w:jc w:val="center"/>
              <w:rPr>
                <w:rFonts w:ascii="Times New Roman" w:hAnsi="Times New Roman"/>
              </w:rPr>
            </w:pPr>
            <w:r w:rsidRPr="00D402AF">
              <w:rPr>
                <w:rFonts w:ascii="Times New Roman" w:eastAsia="Times New Roman" w:hAnsi="Times New Roman" w:cs="Times New Roman"/>
                <w:bCs/>
                <w:i/>
                <w:iCs/>
                <w:color w:val="000000"/>
                <w:sz w:val="20"/>
                <w:szCs w:val="20"/>
                <w:lang w:eastAsia="pl-PL"/>
              </w:rPr>
              <w:t>4 118 837</w:t>
            </w:r>
          </w:p>
        </w:tc>
      </w:tr>
      <w:tr w:rsidR="002906D1" w14:paraId="53845C56" w14:textId="77777777" w:rsidTr="00580CA6">
        <w:tc>
          <w:tcPr>
            <w:tcW w:w="2830" w:type="dxa"/>
          </w:tcPr>
          <w:p w14:paraId="0B4747F7" w14:textId="40BA3C1C" w:rsidR="002906D1" w:rsidRDefault="002906D1" w:rsidP="002906D1">
            <w:pPr>
              <w:jc w:val="both"/>
              <w:rPr>
                <w:rFonts w:ascii="Times New Roman" w:hAnsi="Times New Roman"/>
              </w:rPr>
            </w:pPr>
            <w:r w:rsidRPr="00D402AF">
              <w:rPr>
                <w:rFonts w:ascii="Times New Roman" w:eastAsia="Times New Roman" w:hAnsi="Times New Roman" w:cs="Times New Roman"/>
                <w:color w:val="000000"/>
                <w:sz w:val="20"/>
                <w:szCs w:val="20"/>
                <w:lang w:eastAsia="pl-PL"/>
              </w:rPr>
              <w:t>Wpływy ograniczone</w:t>
            </w:r>
          </w:p>
        </w:tc>
        <w:tc>
          <w:tcPr>
            <w:tcW w:w="3828" w:type="dxa"/>
            <w:vAlign w:val="bottom"/>
          </w:tcPr>
          <w:p w14:paraId="48A09517" w14:textId="43A0D9CF" w:rsidR="002906D1" w:rsidRDefault="002906D1" w:rsidP="002906D1">
            <w:pPr>
              <w:jc w:val="center"/>
              <w:rPr>
                <w:rFonts w:ascii="Times New Roman" w:hAnsi="Times New Roman"/>
              </w:rPr>
            </w:pPr>
            <w:r w:rsidRPr="00D402AF">
              <w:rPr>
                <w:rFonts w:ascii="Times New Roman" w:eastAsia="Times New Roman" w:hAnsi="Times New Roman" w:cs="Times New Roman"/>
                <w:bCs/>
                <w:i/>
                <w:iCs/>
                <w:color w:val="000000"/>
                <w:sz w:val="20"/>
                <w:szCs w:val="20"/>
                <w:lang w:eastAsia="pl-PL"/>
              </w:rPr>
              <w:t>4 118 837</w:t>
            </w:r>
          </w:p>
        </w:tc>
      </w:tr>
      <w:tr w:rsidR="002906D1" w14:paraId="5F35EFF4" w14:textId="77777777" w:rsidTr="002906D1">
        <w:tc>
          <w:tcPr>
            <w:tcW w:w="2830" w:type="dxa"/>
          </w:tcPr>
          <w:p w14:paraId="17D725F0" w14:textId="0CD0B9A9" w:rsidR="002906D1" w:rsidRDefault="002906D1" w:rsidP="002906D1">
            <w:pPr>
              <w:jc w:val="both"/>
              <w:rPr>
                <w:rFonts w:ascii="Times New Roman" w:hAnsi="Times New Roman"/>
              </w:rPr>
            </w:pPr>
            <w:r w:rsidRPr="00D402AF">
              <w:rPr>
                <w:rFonts w:ascii="Times New Roman" w:eastAsia="Times New Roman" w:hAnsi="Times New Roman" w:cs="Times New Roman"/>
                <w:b/>
                <w:bCs/>
                <w:color w:val="000000"/>
                <w:sz w:val="20"/>
                <w:szCs w:val="20"/>
                <w:lang w:eastAsia="pl-PL"/>
              </w:rPr>
              <w:t>LCR</w:t>
            </w:r>
          </w:p>
        </w:tc>
        <w:tc>
          <w:tcPr>
            <w:tcW w:w="3828" w:type="dxa"/>
          </w:tcPr>
          <w:p w14:paraId="33D721BC" w14:textId="3E6F4B9B" w:rsidR="002906D1" w:rsidRDefault="002906D1" w:rsidP="002906D1">
            <w:pPr>
              <w:jc w:val="center"/>
              <w:rPr>
                <w:rFonts w:ascii="Times New Roman" w:hAnsi="Times New Roman"/>
              </w:rPr>
            </w:pPr>
            <w:r w:rsidRPr="00D402AF">
              <w:rPr>
                <w:rFonts w:ascii="Times New Roman" w:eastAsia="Times New Roman" w:hAnsi="Times New Roman" w:cs="Times New Roman"/>
                <w:b/>
                <w:bCs/>
                <w:i/>
                <w:iCs/>
                <w:color w:val="000000"/>
                <w:sz w:val="20"/>
                <w:szCs w:val="20"/>
                <w:lang w:eastAsia="pl-PL"/>
              </w:rPr>
              <w:t>3,10</w:t>
            </w:r>
          </w:p>
        </w:tc>
      </w:tr>
    </w:tbl>
    <w:p w14:paraId="43C9112F" w14:textId="77777777" w:rsidR="00D402AF" w:rsidRDefault="00D402AF" w:rsidP="005E7617">
      <w:pPr>
        <w:spacing w:after="0"/>
        <w:jc w:val="both"/>
        <w:rPr>
          <w:rFonts w:ascii="Times New Roman" w:hAnsi="Times New Roman"/>
        </w:rPr>
      </w:pPr>
    </w:p>
    <w:p w14:paraId="13A50448" w14:textId="77777777" w:rsidR="00D402AF" w:rsidRDefault="00D402AF" w:rsidP="005E7617">
      <w:pPr>
        <w:spacing w:after="0"/>
        <w:jc w:val="both"/>
        <w:rPr>
          <w:rFonts w:ascii="Times New Roman" w:hAnsi="Times New Roman"/>
        </w:rPr>
      </w:pPr>
    </w:p>
    <w:p w14:paraId="3A9A88E8" w14:textId="77777777" w:rsidR="00A924BB" w:rsidRPr="00C573C5" w:rsidRDefault="00A924BB" w:rsidP="005E7617">
      <w:pPr>
        <w:spacing w:after="0"/>
        <w:jc w:val="both"/>
        <w:rPr>
          <w:rFonts w:ascii="Times New Roman" w:hAnsi="Times New Roman"/>
        </w:rPr>
      </w:pPr>
      <w:r w:rsidRPr="00C573C5">
        <w:rPr>
          <w:rFonts w:ascii="Times New Roman" w:hAnsi="Times New Roman"/>
        </w:rPr>
        <w:t>Bank jest obciążony ryzykiem płynności w niskim stopniu z uwagi na:</w:t>
      </w:r>
    </w:p>
    <w:p w14:paraId="55830CDD" w14:textId="77777777" w:rsidR="00A924BB" w:rsidRPr="00C573C5" w:rsidRDefault="00A924BB" w:rsidP="009A6274">
      <w:pPr>
        <w:pStyle w:val="Akapitzlist"/>
        <w:numPr>
          <w:ilvl w:val="0"/>
          <w:numId w:val="23"/>
        </w:numPr>
        <w:spacing w:after="0"/>
        <w:jc w:val="both"/>
        <w:rPr>
          <w:rFonts w:ascii="Times New Roman" w:hAnsi="Times New Roman"/>
        </w:rPr>
      </w:pPr>
      <w:r w:rsidRPr="00C573C5">
        <w:rPr>
          <w:rFonts w:ascii="Times New Roman" w:hAnsi="Times New Roman"/>
        </w:rPr>
        <w:t>Stabilność bazy depozytowej i inne źródła finansowania dostępne dla banku są stabilne, utrzymanie koncentracji w limicie,</w:t>
      </w:r>
    </w:p>
    <w:p w14:paraId="1F91594C" w14:textId="77777777" w:rsidR="00A924BB" w:rsidRPr="00C573C5" w:rsidRDefault="00A924BB" w:rsidP="009A6274">
      <w:pPr>
        <w:pStyle w:val="Akapitzlist"/>
        <w:numPr>
          <w:ilvl w:val="0"/>
          <w:numId w:val="23"/>
        </w:numPr>
        <w:spacing w:after="0"/>
        <w:jc w:val="both"/>
        <w:rPr>
          <w:rFonts w:ascii="Times New Roman" w:hAnsi="Times New Roman"/>
        </w:rPr>
      </w:pPr>
      <w:r w:rsidRPr="00C573C5">
        <w:rPr>
          <w:rFonts w:ascii="Times New Roman" w:hAnsi="Times New Roman"/>
        </w:rPr>
        <w:t>bank ma dostęp do źródeł finansowania umożliwiających realizację bieżących i przewidywanych potrzeb płynnościowych,</w:t>
      </w:r>
    </w:p>
    <w:p w14:paraId="261B7860" w14:textId="77777777" w:rsidR="00A924BB" w:rsidRDefault="00A924BB" w:rsidP="009A6274">
      <w:pPr>
        <w:pStyle w:val="Akapitzlist"/>
        <w:numPr>
          <w:ilvl w:val="0"/>
          <w:numId w:val="23"/>
        </w:numPr>
        <w:spacing w:after="0"/>
        <w:jc w:val="both"/>
        <w:rPr>
          <w:rFonts w:ascii="Times New Roman" w:hAnsi="Times New Roman"/>
        </w:rPr>
      </w:pPr>
      <w:r w:rsidRPr="00C573C5">
        <w:rPr>
          <w:rFonts w:ascii="Times New Roman" w:hAnsi="Times New Roman"/>
        </w:rPr>
        <w:t>wysoki udział aktywów płynnych i wysokopłynnych zabezpiecza zobowiązania wynikające z pasywów niestabilnych,</w:t>
      </w:r>
    </w:p>
    <w:p w14:paraId="1DEE77D2" w14:textId="77777777" w:rsidR="002906D1" w:rsidRDefault="002906D1" w:rsidP="002906D1">
      <w:pPr>
        <w:spacing w:after="0"/>
        <w:jc w:val="both"/>
        <w:rPr>
          <w:rFonts w:ascii="Times New Roman" w:hAnsi="Times New Roman"/>
        </w:rPr>
      </w:pPr>
    </w:p>
    <w:p w14:paraId="1201D678" w14:textId="1AFD0866" w:rsidR="002906D1" w:rsidRDefault="002906D1" w:rsidP="002906D1">
      <w:pPr>
        <w:spacing w:after="0"/>
        <w:jc w:val="both"/>
        <w:rPr>
          <w:rFonts w:ascii="Times New Roman" w:hAnsi="Times New Roman"/>
        </w:rPr>
      </w:pPr>
      <w:r>
        <w:rPr>
          <w:rFonts w:ascii="Times New Roman" w:hAnsi="Times New Roman"/>
        </w:rPr>
        <w:t>Podsumowanie oceny stabilności bazy depozytowej zawiera tabela:</w:t>
      </w:r>
    </w:p>
    <w:p w14:paraId="7837F4C9" w14:textId="77777777" w:rsidR="002906D1" w:rsidRDefault="002906D1" w:rsidP="002906D1">
      <w:pPr>
        <w:spacing w:after="0"/>
        <w:jc w:val="both"/>
        <w:rPr>
          <w:rFonts w:ascii="Times New Roman" w:hAnsi="Times New Roman"/>
        </w:rPr>
      </w:pPr>
    </w:p>
    <w:tbl>
      <w:tblPr>
        <w:tblW w:w="0" w:type="auto"/>
        <w:tblInd w:w="2361" w:type="dxa"/>
        <w:tblLayout w:type="fixed"/>
        <w:tblLook w:val="0000" w:firstRow="0" w:lastRow="0" w:firstColumn="0" w:lastColumn="0" w:noHBand="0" w:noVBand="0"/>
      </w:tblPr>
      <w:tblGrid>
        <w:gridCol w:w="2765"/>
        <w:gridCol w:w="2652"/>
      </w:tblGrid>
      <w:tr w:rsidR="002906D1" w14:paraId="6199CE20" w14:textId="77777777" w:rsidTr="00580CA6">
        <w:trPr>
          <w:trHeight w:val="70"/>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tcPr>
          <w:p w14:paraId="20972602" w14:textId="4B1A9C99" w:rsidR="002906D1" w:rsidRDefault="002906D1" w:rsidP="00580CA6">
            <w:pPr>
              <w:pStyle w:val="Akapitzlist"/>
              <w:spacing w:after="0"/>
              <w:ind w:left="0"/>
              <w:jc w:val="center"/>
            </w:pPr>
            <w:r>
              <w:rPr>
                <w:rFonts w:ascii="Times New Roman" w:hAnsi="Times New Roman"/>
                <w:b/>
                <w:i/>
                <w:sz w:val="16"/>
              </w:rPr>
              <w:t>Stany z 31.12.2019</w:t>
            </w:r>
          </w:p>
        </w:tc>
      </w:tr>
      <w:tr w:rsidR="002906D1" w14:paraId="48D6926A"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648592B1" w14:textId="77777777" w:rsidR="002906D1" w:rsidRDefault="002906D1" w:rsidP="00580CA6">
            <w:pPr>
              <w:pStyle w:val="Akapitzlist"/>
              <w:spacing w:after="0"/>
              <w:ind w:left="0"/>
            </w:pPr>
            <w:r>
              <w:rPr>
                <w:rFonts w:ascii="Times New Roman" w:hAnsi="Times New Roman"/>
                <w:sz w:val="16"/>
              </w:rPr>
              <w:t>Wartość osadu</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3596DCF" w14:textId="77777777" w:rsidR="002906D1" w:rsidRDefault="002906D1" w:rsidP="00580CA6">
            <w:pPr>
              <w:pStyle w:val="Akapitzlist"/>
              <w:spacing w:after="0"/>
              <w:ind w:left="0"/>
              <w:jc w:val="right"/>
            </w:pPr>
            <w:r>
              <w:rPr>
                <w:rFonts w:ascii="Times New Roman" w:hAnsi="Times New Roman"/>
                <w:sz w:val="16"/>
              </w:rPr>
              <w:t>51 576 800,67</w:t>
            </w:r>
          </w:p>
        </w:tc>
      </w:tr>
      <w:tr w:rsidR="002906D1" w14:paraId="2F981510"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6ABBBBDB" w14:textId="77777777" w:rsidR="002906D1" w:rsidRDefault="002906D1" w:rsidP="00580CA6">
            <w:pPr>
              <w:pStyle w:val="Akapitzlist"/>
              <w:spacing w:after="0"/>
              <w:ind w:left="0"/>
            </w:pPr>
            <w:r>
              <w:rPr>
                <w:rFonts w:ascii="Times New Roman" w:hAnsi="Times New Roman"/>
                <w:sz w:val="16"/>
              </w:rPr>
              <w:t>Inflacja (%)</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3F22A81C" w14:textId="77777777" w:rsidR="002906D1" w:rsidRDefault="002906D1" w:rsidP="00580CA6">
            <w:pPr>
              <w:pStyle w:val="Akapitzlist"/>
              <w:spacing w:after="0"/>
              <w:ind w:left="0"/>
              <w:jc w:val="right"/>
            </w:pPr>
            <w:r>
              <w:rPr>
                <w:rFonts w:ascii="Times New Roman" w:hAnsi="Times New Roman"/>
                <w:sz w:val="16"/>
              </w:rPr>
              <w:t>0,00</w:t>
            </w:r>
          </w:p>
        </w:tc>
      </w:tr>
      <w:tr w:rsidR="002906D1" w14:paraId="646D5A92" w14:textId="77777777" w:rsidTr="00580CA6">
        <w:trPr>
          <w:trHeight w:val="92"/>
        </w:trPr>
        <w:tc>
          <w:tcPr>
            <w:tcW w:w="2765" w:type="dxa"/>
            <w:tcBorders>
              <w:top w:val="single" w:sz="4" w:space="0" w:color="000000"/>
              <w:left w:val="single" w:sz="4" w:space="0" w:color="000000"/>
              <w:bottom w:val="single" w:sz="4" w:space="0" w:color="000000"/>
            </w:tcBorders>
            <w:shd w:val="clear" w:color="auto" w:fill="auto"/>
          </w:tcPr>
          <w:p w14:paraId="786CC6F3" w14:textId="77777777" w:rsidR="002906D1" w:rsidRDefault="002906D1" w:rsidP="00580CA6">
            <w:pPr>
              <w:pStyle w:val="Akapitzlist"/>
              <w:spacing w:after="0"/>
              <w:ind w:left="0"/>
            </w:pPr>
            <w:r>
              <w:rPr>
                <w:rFonts w:ascii="Times New Roman" w:hAnsi="Times New Roman"/>
                <w:sz w:val="16"/>
              </w:rPr>
              <w:lastRenderedPageBreak/>
              <w:t>Wartość realna osadu (razem)</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001944B4" w14:textId="77777777" w:rsidR="002906D1" w:rsidRDefault="002906D1" w:rsidP="00580CA6">
            <w:pPr>
              <w:pStyle w:val="Akapitzlist"/>
              <w:spacing w:after="0"/>
              <w:ind w:left="0"/>
              <w:jc w:val="right"/>
            </w:pPr>
            <w:r>
              <w:rPr>
                <w:rFonts w:ascii="Times New Roman" w:hAnsi="Times New Roman"/>
                <w:sz w:val="16"/>
              </w:rPr>
              <w:t>56 831 430,22</w:t>
            </w:r>
          </w:p>
        </w:tc>
      </w:tr>
      <w:tr w:rsidR="002906D1" w14:paraId="6BF8675D"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5238812F" w14:textId="77777777" w:rsidR="002906D1" w:rsidRDefault="002906D1" w:rsidP="00580CA6">
            <w:pPr>
              <w:pStyle w:val="Akapitzlist"/>
              <w:spacing w:after="0"/>
              <w:ind w:left="0"/>
            </w:pPr>
            <w:r>
              <w:rPr>
                <w:rFonts w:ascii="Times New Roman" w:hAnsi="Times New Roman"/>
                <w:sz w:val="16"/>
              </w:rPr>
              <w:t>Średnie stan bazy depozytowej</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5CC0D000" w14:textId="77777777" w:rsidR="002906D1" w:rsidRDefault="002906D1" w:rsidP="00580CA6">
            <w:pPr>
              <w:pStyle w:val="Akapitzlist"/>
              <w:spacing w:after="0"/>
              <w:ind w:left="0"/>
              <w:jc w:val="right"/>
            </w:pPr>
            <w:r>
              <w:rPr>
                <w:rFonts w:ascii="Times New Roman" w:hAnsi="Times New Roman"/>
                <w:sz w:val="16"/>
              </w:rPr>
              <w:t>85 034 634,67</w:t>
            </w:r>
          </w:p>
        </w:tc>
      </w:tr>
      <w:tr w:rsidR="002906D1" w14:paraId="6818CDFA"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33A2530C" w14:textId="77777777" w:rsidR="002906D1" w:rsidRDefault="002906D1" w:rsidP="00580CA6">
            <w:pPr>
              <w:pStyle w:val="Akapitzlist"/>
              <w:spacing w:after="0"/>
              <w:ind w:left="0"/>
            </w:pPr>
            <w:r>
              <w:rPr>
                <w:rFonts w:ascii="Times New Roman" w:hAnsi="Times New Roman"/>
                <w:sz w:val="16"/>
              </w:rPr>
              <w:t>Współczynnik osadu</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558BB5D" w14:textId="77777777" w:rsidR="002906D1" w:rsidRDefault="002906D1" w:rsidP="00580CA6">
            <w:pPr>
              <w:pStyle w:val="Akapitzlist"/>
              <w:spacing w:after="0"/>
              <w:ind w:left="0"/>
              <w:jc w:val="right"/>
            </w:pPr>
            <w:r>
              <w:rPr>
                <w:rFonts w:ascii="Times New Roman" w:hAnsi="Times New Roman"/>
                <w:sz w:val="16"/>
              </w:rPr>
              <w:t>66,83</w:t>
            </w:r>
          </w:p>
        </w:tc>
      </w:tr>
      <w:tr w:rsidR="002906D1" w14:paraId="06BB2084"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1AA2DEF1" w14:textId="77777777" w:rsidR="002906D1" w:rsidRDefault="002906D1" w:rsidP="00580CA6">
            <w:pPr>
              <w:pStyle w:val="Akapitzlist"/>
              <w:spacing w:after="0"/>
              <w:ind w:left="0"/>
            </w:pPr>
            <w:r>
              <w:rPr>
                <w:rFonts w:ascii="Times New Roman" w:hAnsi="Times New Roman"/>
                <w:sz w:val="16"/>
              </w:rPr>
              <w:t>Poziom depozytów chwiejnych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54F8556" w14:textId="77777777" w:rsidR="002906D1" w:rsidRDefault="002906D1" w:rsidP="00580CA6">
            <w:pPr>
              <w:pStyle w:val="Akapitzlist"/>
              <w:spacing w:after="0"/>
              <w:ind w:left="0"/>
              <w:jc w:val="right"/>
            </w:pPr>
            <w:r>
              <w:rPr>
                <w:rFonts w:ascii="Times New Roman" w:hAnsi="Times New Roman"/>
                <w:sz w:val="16"/>
              </w:rPr>
              <w:t>28 203 204,45</w:t>
            </w:r>
          </w:p>
        </w:tc>
      </w:tr>
      <w:tr w:rsidR="002906D1" w14:paraId="4BBF65C8"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53DB2D90" w14:textId="77777777" w:rsidR="002906D1" w:rsidRDefault="002906D1" w:rsidP="00580CA6">
            <w:pPr>
              <w:pStyle w:val="Akapitzlist"/>
              <w:spacing w:after="0"/>
              <w:ind w:left="0"/>
            </w:pPr>
            <w:r>
              <w:rPr>
                <w:rFonts w:ascii="Times New Roman" w:hAnsi="Times New Roman"/>
                <w:sz w:val="16"/>
              </w:rPr>
              <w:t>Poziom depozytów stabilnych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1A6FBD57" w14:textId="77777777" w:rsidR="002906D1" w:rsidRDefault="002906D1" w:rsidP="00580CA6">
            <w:pPr>
              <w:pStyle w:val="Akapitzlist"/>
              <w:spacing w:after="0"/>
              <w:ind w:left="0"/>
              <w:jc w:val="right"/>
            </w:pPr>
            <w:r>
              <w:rPr>
                <w:rFonts w:ascii="Times New Roman" w:hAnsi="Times New Roman"/>
                <w:sz w:val="16"/>
              </w:rPr>
              <w:t>60 056 753,81</w:t>
            </w:r>
          </w:p>
        </w:tc>
      </w:tr>
      <w:tr w:rsidR="002906D1" w14:paraId="6AC86132"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08B085D2" w14:textId="77777777" w:rsidR="002906D1" w:rsidRDefault="002906D1" w:rsidP="00580CA6">
            <w:pPr>
              <w:pStyle w:val="Akapitzlist"/>
              <w:spacing w:after="0"/>
              <w:ind w:left="0"/>
            </w:pPr>
            <w:r>
              <w:rPr>
                <w:rFonts w:ascii="Times New Roman" w:hAnsi="Times New Roman"/>
                <w:sz w:val="16"/>
              </w:rPr>
              <w:t>Poziom depozytów niestabilnych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70A8CCC" w14:textId="77777777" w:rsidR="002906D1" w:rsidRDefault="002906D1" w:rsidP="00580CA6">
            <w:pPr>
              <w:pStyle w:val="Akapitzlist"/>
              <w:spacing w:after="0"/>
              <w:ind w:left="0"/>
              <w:jc w:val="right"/>
            </w:pPr>
            <w:r>
              <w:rPr>
                <w:rFonts w:ascii="Times New Roman" w:hAnsi="Times New Roman"/>
                <w:sz w:val="16"/>
              </w:rPr>
              <w:t>24 977 880,87</w:t>
            </w:r>
          </w:p>
        </w:tc>
      </w:tr>
      <w:tr w:rsidR="002906D1" w14:paraId="2231D6E6" w14:textId="77777777" w:rsidTr="00580CA6">
        <w:trPr>
          <w:trHeight w:val="70"/>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tcPr>
          <w:p w14:paraId="2445BB5E" w14:textId="48AD2444" w:rsidR="002906D1" w:rsidRDefault="00C731A4" w:rsidP="00580CA6">
            <w:pPr>
              <w:pStyle w:val="Akapitzlist"/>
              <w:spacing w:after="0"/>
              <w:ind w:left="0"/>
              <w:jc w:val="center"/>
            </w:pPr>
            <w:r>
              <w:rPr>
                <w:rFonts w:ascii="Times New Roman" w:hAnsi="Times New Roman"/>
                <w:b/>
                <w:i/>
                <w:sz w:val="16"/>
              </w:rPr>
              <w:t>Stany za grudzień</w:t>
            </w:r>
          </w:p>
        </w:tc>
      </w:tr>
      <w:tr w:rsidR="002906D1" w14:paraId="39B168B8"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6D0DEF8C" w14:textId="77777777" w:rsidR="002906D1" w:rsidRDefault="002906D1" w:rsidP="00580CA6">
            <w:pPr>
              <w:pStyle w:val="Akapitzlist"/>
              <w:spacing w:after="0"/>
              <w:ind w:left="0"/>
            </w:pPr>
            <w:r>
              <w:rPr>
                <w:rFonts w:ascii="Times New Roman" w:hAnsi="Times New Roman"/>
                <w:sz w:val="16"/>
              </w:rPr>
              <w:t>Średni stan depozytów stabilnych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4AABBE54" w14:textId="77777777" w:rsidR="002906D1" w:rsidRDefault="002906D1" w:rsidP="00580CA6">
            <w:pPr>
              <w:pStyle w:val="Akapitzlist"/>
              <w:spacing w:after="0"/>
              <w:ind w:left="0"/>
              <w:jc w:val="right"/>
            </w:pPr>
            <w:r>
              <w:rPr>
                <w:rFonts w:ascii="Times New Roman" w:hAnsi="Times New Roman"/>
                <w:sz w:val="16"/>
              </w:rPr>
              <w:t>65 643 563,36</w:t>
            </w:r>
          </w:p>
        </w:tc>
      </w:tr>
      <w:tr w:rsidR="002906D1" w14:paraId="13DB9E7A"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660B2A44" w14:textId="77777777" w:rsidR="002906D1" w:rsidRDefault="002906D1" w:rsidP="00580CA6">
            <w:pPr>
              <w:pStyle w:val="Akapitzlist"/>
              <w:spacing w:after="0"/>
              <w:ind w:left="0"/>
            </w:pPr>
            <w:r>
              <w:rPr>
                <w:rFonts w:ascii="Times New Roman" w:hAnsi="Times New Roman"/>
                <w:sz w:val="16"/>
              </w:rPr>
              <w:t>Średnie stan depozytów niestabilnych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55616139" w14:textId="77777777" w:rsidR="002906D1" w:rsidRDefault="002906D1" w:rsidP="00580CA6">
            <w:pPr>
              <w:pStyle w:val="Akapitzlist"/>
              <w:spacing w:after="0"/>
              <w:ind w:left="0"/>
              <w:jc w:val="right"/>
            </w:pPr>
            <w:r>
              <w:rPr>
                <w:rFonts w:ascii="Times New Roman" w:hAnsi="Times New Roman"/>
                <w:sz w:val="16"/>
              </w:rPr>
              <w:t>33 697 460,29</w:t>
            </w:r>
          </w:p>
        </w:tc>
      </w:tr>
      <w:tr w:rsidR="002906D1" w14:paraId="7ED7EB05" w14:textId="77777777" w:rsidTr="00580CA6">
        <w:trPr>
          <w:trHeight w:val="91"/>
        </w:trPr>
        <w:tc>
          <w:tcPr>
            <w:tcW w:w="2765" w:type="dxa"/>
            <w:tcBorders>
              <w:top w:val="single" w:sz="4" w:space="0" w:color="000000"/>
              <w:left w:val="single" w:sz="4" w:space="0" w:color="000000"/>
              <w:bottom w:val="single" w:sz="4" w:space="0" w:color="000000"/>
            </w:tcBorders>
            <w:shd w:val="clear" w:color="auto" w:fill="auto"/>
          </w:tcPr>
          <w:p w14:paraId="6B5B6ED5" w14:textId="77777777" w:rsidR="002906D1" w:rsidRDefault="002906D1" w:rsidP="00580CA6">
            <w:pPr>
              <w:pStyle w:val="Akapitzlist"/>
              <w:spacing w:after="0"/>
              <w:ind w:left="0"/>
            </w:pPr>
            <w:r>
              <w:rPr>
                <w:rFonts w:ascii="Times New Roman" w:hAnsi="Times New Roman"/>
                <w:sz w:val="16"/>
              </w:rPr>
              <w:t>Średnie stan bazy depozytowej</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2DB7CA48" w14:textId="77777777" w:rsidR="002906D1" w:rsidRDefault="002906D1" w:rsidP="00580CA6">
            <w:pPr>
              <w:pStyle w:val="Akapitzlist"/>
              <w:spacing w:after="0"/>
              <w:ind w:left="0"/>
              <w:jc w:val="right"/>
            </w:pPr>
            <w:r>
              <w:rPr>
                <w:rFonts w:ascii="Times New Roman" w:hAnsi="Times New Roman"/>
                <w:sz w:val="16"/>
              </w:rPr>
              <w:t>99 341 023,65</w:t>
            </w:r>
          </w:p>
        </w:tc>
      </w:tr>
    </w:tbl>
    <w:p w14:paraId="15B6CB04" w14:textId="77777777" w:rsidR="002906D1" w:rsidRDefault="002906D1" w:rsidP="002906D1">
      <w:pPr>
        <w:spacing w:after="0"/>
        <w:jc w:val="both"/>
        <w:rPr>
          <w:rFonts w:ascii="Times New Roman" w:hAnsi="Times New Roman"/>
        </w:rPr>
      </w:pPr>
    </w:p>
    <w:p w14:paraId="45020277" w14:textId="77777777" w:rsidR="002906D1" w:rsidRPr="002906D1" w:rsidRDefault="002906D1" w:rsidP="002906D1">
      <w:pPr>
        <w:spacing w:after="0"/>
        <w:jc w:val="both"/>
        <w:rPr>
          <w:rFonts w:ascii="Times New Roman" w:hAnsi="Times New Roman"/>
        </w:rPr>
      </w:pPr>
    </w:p>
    <w:p w14:paraId="5C067D41" w14:textId="377273CD" w:rsidR="00C731A4" w:rsidRDefault="00C731A4" w:rsidP="00C573C5">
      <w:pPr>
        <w:spacing w:after="0"/>
        <w:jc w:val="both"/>
        <w:rPr>
          <w:rFonts w:ascii="Times New Roman" w:hAnsi="Times New Roman"/>
        </w:rPr>
      </w:pPr>
      <w:r>
        <w:rPr>
          <w:rFonts w:ascii="Times New Roman" w:hAnsi="Times New Roman"/>
        </w:rPr>
        <w:t>Poniższa tabela zawiera wskaźniki płynności na 31.12.2019:</w:t>
      </w:r>
    </w:p>
    <w:p w14:paraId="3CD152DE" w14:textId="77777777" w:rsidR="00C731A4" w:rsidRDefault="00C731A4" w:rsidP="00C573C5">
      <w:pPr>
        <w:spacing w:after="0"/>
        <w:jc w:val="both"/>
        <w:rPr>
          <w:rFonts w:ascii="Times New Roman" w:hAnsi="Times New Roman"/>
        </w:rPr>
      </w:pPr>
    </w:p>
    <w:tbl>
      <w:tblPr>
        <w:tblW w:w="9777" w:type="dxa"/>
        <w:tblInd w:w="-15" w:type="dxa"/>
        <w:tblLayout w:type="fixed"/>
        <w:tblLook w:val="0000" w:firstRow="0" w:lastRow="0" w:firstColumn="0" w:lastColumn="0" w:noHBand="0" w:noVBand="0"/>
      </w:tblPr>
      <w:tblGrid>
        <w:gridCol w:w="4361"/>
        <w:gridCol w:w="2268"/>
        <w:gridCol w:w="1417"/>
        <w:gridCol w:w="1731"/>
      </w:tblGrid>
      <w:tr w:rsidR="00C731A4" w14:paraId="026D33C7" w14:textId="77777777" w:rsidTr="00B57381">
        <w:tc>
          <w:tcPr>
            <w:tcW w:w="4361" w:type="dxa"/>
            <w:tcBorders>
              <w:top w:val="single" w:sz="4" w:space="0" w:color="000000"/>
              <w:left w:val="single" w:sz="4" w:space="0" w:color="000000"/>
              <w:bottom w:val="single" w:sz="4" w:space="0" w:color="000000"/>
            </w:tcBorders>
            <w:shd w:val="clear" w:color="auto" w:fill="auto"/>
            <w:vAlign w:val="center"/>
          </w:tcPr>
          <w:p w14:paraId="4C2C2A17" w14:textId="77777777" w:rsidR="00C731A4" w:rsidRDefault="00C731A4" w:rsidP="00580CA6">
            <w:pPr>
              <w:spacing w:after="0" w:line="240" w:lineRule="auto"/>
              <w:jc w:val="center"/>
            </w:pPr>
            <w:r>
              <w:rPr>
                <w:rFonts w:ascii="Times New Roman" w:hAnsi="Times New Roman"/>
                <w:b/>
                <w:i/>
                <w:sz w:val="16"/>
              </w:rPr>
              <w:t>Przedział czasowy</w:t>
            </w:r>
          </w:p>
        </w:tc>
        <w:tc>
          <w:tcPr>
            <w:tcW w:w="2268" w:type="dxa"/>
            <w:tcBorders>
              <w:top w:val="single" w:sz="4" w:space="0" w:color="000000"/>
              <w:left w:val="single" w:sz="4" w:space="0" w:color="000000"/>
              <w:bottom w:val="single" w:sz="4" w:space="0" w:color="000000"/>
            </w:tcBorders>
            <w:shd w:val="clear" w:color="auto" w:fill="auto"/>
            <w:vAlign w:val="center"/>
          </w:tcPr>
          <w:p w14:paraId="555788B9" w14:textId="77777777" w:rsidR="00C731A4" w:rsidRDefault="00C731A4" w:rsidP="00580CA6">
            <w:pPr>
              <w:spacing w:after="0" w:line="240" w:lineRule="auto"/>
              <w:jc w:val="center"/>
            </w:pPr>
            <w:r>
              <w:rPr>
                <w:rFonts w:ascii="Times New Roman" w:hAnsi="Times New Roman"/>
                <w:b/>
                <w:i/>
                <w:sz w:val="16"/>
              </w:rPr>
              <w:t>Ustalony limit (min. wartości)</w:t>
            </w:r>
          </w:p>
        </w:tc>
        <w:tc>
          <w:tcPr>
            <w:tcW w:w="1417" w:type="dxa"/>
            <w:tcBorders>
              <w:top w:val="single" w:sz="4" w:space="0" w:color="000000"/>
              <w:left w:val="single" w:sz="4" w:space="0" w:color="000000"/>
              <w:bottom w:val="single" w:sz="4" w:space="0" w:color="000000"/>
            </w:tcBorders>
            <w:shd w:val="clear" w:color="auto" w:fill="auto"/>
            <w:vAlign w:val="center"/>
          </w:tcPr>
          <w:p w14:paraId="1A250F48" w14:textId="77777777" w:rsidR="00C731A4" w:rsidRDefault="00C731A4" w:rsidP="00580CA6">
            <w:pPr>
              <w:spacing w:after="0" w:line="240" w:lineRule="auto"/>
              <w:jc w:val="center"/>
            </w:pPr>
            <w:r>
              <w:rPr>
                <w:rFonts w:ascii="Times New Roman" w:hAnsi="Times New Roman"/>
                <w:b/>
                <w:i/>
                <w:sz w:val="16"/>
              </w:rPr>
              <w:t>Wyliczony limit</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EA1E" w14:textId="77777777" w:rsidR="00C731A4" w:rsidRDefault="00C731A4" w:rsidP="00580CA6">
            <w:pPr>
              <w:spacing w:after="0" w:line="240" w:lineRule="auto"/>
              <w:jc w:val="center"/>
            </w:pPr>
            <w:r>
              <w:rPr>
                <w:rFonts w:ascii="Times New Roman" w:hAnsi="Times New Roman"/>
                <w:b/>
                <w:i/>
                <w:sz w:val="16"/>
              </w:rPr>
              <w:t>Wykonanie</w:t>
            </w:r>
          </w:p>
        </w:tc>
      </w:tr>
      <w:tr w:rsidR="00C731A4" w14:paraId="436AD710" w14:textId="77777777" w:rsidTr="00B57381">
        <w:tc>
          <w:tcPr>
            <w:tcW w:w="4361" w:type="dxa"/>
            <w:tcBorders>
              <w:top w:val="single" w:sz="4" w:space="0" w:color="000000"/>
              <w:left w:val="single" w:sz="4" w:space="0" w:color="000000"/>
              <w:bottom w:val="single" w:sz="4" w:space="0" w:color="000000"/>
            </w:tcBorders>
            <w:shd w:val="clear" w:color="auto" w:fill="auto"/>
          </w:tcPr>
          <w:p w14:paraId="32681995" w14:textId="77777777" w:rsidR="00C731A4" w:rsidRDefault="00C731A4" w:rsidP="00580CA6">
            <w:pPr>
              <w:spacing w:after="0" w:line="240" w:lineRule="auto"/>
            </w:pPr>
            <w:r>
              <w:rPr>
                <w:rFonts w:ascii="Times New Roman" w:hAnsi="Times New Roman"/>
                <w:sz w:val="16"/>
              </w:rPr>
              <w:t>Wskaźnik płynności krótkoterminowej do 1 m-ca</w:t>
            </w:r>
          </w:p>
        </w:tc>
        <w:tc>
          <w:tcPr>
            <w:tcW w:w="2268" w:type="dxa"/>
            <w:tcBorders>
              <w:top w:val="single" w:sz="4" w:space="0" w:color="000000"/>
              <w:left w:val="single" w:sz="4" w:space="0" w:color="000000"/>
              <w:bottom w:val="single" w:sz="4" w:space="0" w:color="000000"/>
            </w:tcBorders>
            <w:shd w:val="clear" w:color="auto" w:fill="auto"/>
            <w:vAlign w:val="center"/>
          </w:tcPr>
          <w:p w14:paraId="5EAA3D20" w14:textId="77777777" w:rsidR="00C731A4" w:rsidRDefault="00C731A4" w:rsidP="00580CA6">
            <w:pPr>
              <w:spacing w:after="0" w:line="240" w:lineRule="auto"/>
              <w:jc w:val="center"/>
            </w:pPr>
            <w:r>
              <w:rPr>
                <w:rFonts w:ascii="Times New Roman" w:hAnsi="Times New Roman"/>
                <w:sz w:val="16"/>
              </w:rPr>
              <w:t>1,00</w:t>
            </w:r>
          </w:p>
        </w:tc>
        <w:tc>
          <w:tcPr>
            <w:tcW w:w="1417" w:type="dxa"/>
            <w:tcBorders>
              <w:top w:val="single" w:sz="4" w:space="0" w:color="000000"/>
              <w:left w:val="single" w:sz="4" w:space="0" w:color="000000"/>
              <w:bottom w:val="single" w:sz="4" w:space="0" w:color="000000"/>
            </w:tcBorders>
            <w:shd w:val="clear" w:color="auto" w:fill="auto"/>
            <w:vAlign w:val="center"/>
          </w:tcPr>
          <w:p w14:paraId="43F7D6DB" w14:textId="77777777" w:rsidR="00C731A4" w:rsidRPr="0088324D" w:rsidRDefault="00C731A4" w:rsidP="00580CA6">
            <w:pPr>
              <w:spacing w:after="0" w:line="240" w:lineRule="auto"/>
              <w:jc w:val="center"/>
              <w:rPr>
                <w:rFonts w:ascii="Times New Roman" w:hAnsi="Times New Roman"/>
                <w:sz w:val="16"/>
                <w:szCs w:val="16"/>
              </w:rPr>
            </w:pPr>
            <w:r>
              <w:rPr>
                <w:rFonts w:ascii="Times New Roman" w:hAnsi="Times New Roman"/>
                <w:sz w:val="16"/>
                <w:szCs w:val="16"/>
              </w:rPr>
              <w:t>1,01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5FA6E6C" w14:textId="77777777" w:rsidR="00C731A4" w:rsidRDefault="00C731A4" w:rsidP="00580CA6">
            <w:pPr>
              <w:spacing w:after="0" w:line="240" w:lineRule="auto"/>
            </w:pPr>
            <w:r>
              <w:rPr>
                <w:rFonts w:ascii="Times New Roman" w:hAnsi="Times New Roman"/>
                <w:sz w:val="16"/>
              </w:rPr>
              <w:t xml:space="preserve">Zachowany </w:t>
            </w:r>
          </w:p>
        </w:tc>
      </w:tr>
      <w:tr w:rsidR="00C731A4" w14:paraId="759CE798" w14:textId="77777777" w:rsidTr="00B57381">
        <w:tc>
          <w:tcPr>
            <w:tcW w:w="4361" w:type="dxa"/>
            <w:tcBorders>
              <w:top w:val="single" w:sz="4" w:space="0" w:color="000000"/>
              <w:left w:val="single" w:sz="4" w:space="0" w:color="000000"/>
              <w:bottom w:val="single" w:sz="4" w:space="0" w:color="000000"/>
            </w:tcBorders>
            <w:shd w:val="clear" w:color="auto" w:fill="auto"/>
          </w:tcPr>
          <w:p w14:paraId="74C952A2" w14:textId="77777777" w:rsidR="00C731A4" w:rsidRDefault="00C731A4" w:rsidP="00580CA6">
            <w:pPr>
              <w:spacing w:after="0" w:line="240" w:lineRule="auto"/>
            </w:pPr>
            <w:r>
              <w:rPr>
                <w:rFonts w:ascii="Times New Roman" w:hAnsi="Times New Roman"/>
                <w:sz w:val="16"/>
              </w:rPr>
              <w:t>Wskaźnik płynności do 3 m-cy</w:t>
            </w:r>
          </w:p>
        </w:tc>
        <w:tc>
          <w:tcPr>
            <w:tcW w:w="2268" w:type="dxa"/>
            <w:tcBorders>
              <w:top w:val="single" w:sz="4" w:space="0" w:color="000000"/>
              <w:left w:val="single" w:sz="4" w:space="0" w:color="000000"/>
              <w:bottom w:val="single" w:sz="4" w:space="0" w:color="000000"/>
            </w:tcBorders>
            <w:shd w:val="clear" w:color="auto" w:fill="auto"/>
            <w:vAlign w:val="center"/>
          </w:tcPr>
          <w:p w14:paraId="6A73F82D" w14:textId="77777777" w:rsidR="00C731A4" w:rsidRDefault="00C731A4" w:rsidP="00580CA6">
            <w:pPr>
              <w:spacing w:after="0" w:line="240" w:lineRule="auto"/>
              <w:jc w:val="center"/>
            </w:pPr>
            <w:r>
              <w:rPr>
                <w:rFonts w:ascii="Times New Roman" w:hAnsi="Times New Roman"/>
                <w:sz w:val="16"/>
              </w:rPr>
              <w:t>1,00</w:t>
            </w:r>
          </w:p>
        </w:tc>
        <w:tc>
          <w:tcPr>
            <w:tcW w:w="1417" w:type="dxa"/>
            <w:tcBorders>
              <w:top w:val="single" w:sz="4" w:space="0" w:color="000000"/>
              <w:left w:val="single" w:sz="4" w:space="0" w:color="000000"/>
              <w:bottom w:val="single" w:sz="4" w:space="0" w:color="000000"/>
            </w:tcBorders>
            <w:shd w:val="clear" w:color="auto" w:fill="auto"/>
            <w:vAlign w:val="center"/>
          </w:tcPr>
          <w:p w14:paraId="7E04C2C4" w14:textId="77777777" w:rsidR="00C731A4" w:rsidRPr="0088324D" w:rsidRDefault="00C731A4" w:rsidP="00580CA6">
            <w:pPr>
              <w:spacing w:after="0" w:line="240" w:lineRule="auto"/>
              <w:jc w:val="center"/>
              <w:rPr>
                <w:rFonts w:ascii="Times New Roman" w:hAnsi="Times New Roman"/>
                <w:sz w:val="16"/>
                <w:szCs w:val="16"/>
              </w:rPr>
            </w:pPr>
            <w:r>
              <w:rPr>
                <w:rFonts w:ascii="Times New Roman" w:hAnsi="Times New Roman"/>
                <w:sz w:val="16"/>
                <w:szCs w:val="16"/>
              </w:rPr>
              <w:t>0,97</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7B0D30A" w14:textId="77777777" w:rsidR="00C731A4" w:rsidRDefault="00C731A4" w:rsidP="00580CA6">
            <w:pPr>
              <w:spacing w:after="0" w:line="240" w:lineRule="auto"/>
            </w:pPr>
            <w:r>
              <w:rPr>
                <w:rFonts w:ascii="Times New Roman" w:hAnsi="Times New Roman"/>
                <w:sz w:val="16"/>
              </w:rPr>
              <w:t xml:space="preserve">Nie zachowany </w:t>
            </w:r>
          </w:p>
        </w:tc>
      </w:tr>
      <w:tr w:rsidR="00C731A4" w14:paraId="39461C7E" w14:textId="77777777" w:rsidTr="00B57381">
        <w:tc>
          <w:tcPr>
            <w:tcW w:w="4361" w:type="dxa"/>
            <w:tcBorders>
              <w:top w:val="single" w:sz="4" w:space="0" w:color="000000"/>
              <w:left w:val="single" w:sz="4" w:space="0" w:color="000000"/>
              <w:bottom w:val="single" w:sz="4" w:space="0" w:color="000000"/>
            </w:tcBorders>
            <w:shd w:val="clear" w:color="auto" w:fill="auto"/>
          </w:tcPr>
          <w:p w14:paraId="1F6D9E91" w14:textId="77777777" w:rsidR="00C731A4" w:rsidRDefault="00C731A4" w:rsidP="00580CA6">
            <w:pPr>
              <w:spacing w:after="0" w:line="240" w:lineRule="auto"/>
            </w:pPr>
            <w:r>
              <w:rPr>
                <w:rFonts w:ascii="Times New Roman" w:hAnsi="Times New Roman"/>
                <w:sz w:val="16"/>
              </w:rPr>
              <w:t>Wskaźnik płynności do 6 m-cy</w:t>
            </w:r>
          </w:p>
        </w:tc>
        <w:tc>
          <w:tcPr>
            <w:tcW w:w="2268" w:type="dxa"/>
            <w:tcBorders>
              <w:top w:val="single" w:sz="4" w:space="0" w:color="000000"/>
              <w:left w:val="single" w:sz="4" w:space="0" w:color="000000"/>
              <w:bottom w:val="single" w:sz="4" w:space="0" w:color="000000"/>
            </w:tcBorders>
            <w:shd w:val="clear" w:color="auto" w:fill="auto"/>
            <w:vAlign w:val="center"/>
          </w:tcPr>
          <w:p w14:paraId="4B68ED54" w14:textId="77777777" w:rsidR="00C731A4" w:rsidRDefault="00C731A4" w:rsidP="00580CA6">
            <w:pPr>
              <w:spacing w:after="0" w:line="240" w:lineRule="auto"/>
              <w:jc w:val="center"/>
            </w:pPr>
            <w:r>
              <w:rPr>
                <w:rFonts w:ascii="Times New Roman" w:hAnsi="Times New Roman"/>
                <w:sz w:val="16"/>
              </w:rPr>
              <w:t>0,70</w:t>
            </w:r>
          </w:p>
        </w:tc>
        <w:tc>
          <w:tcPr>
            <w:tcW w:w="1417" w:type="dxa"/>
            <w:tcBorders>
              <w:top w:val="single" w:sz="4" w:space="0" w:color="000000"/>
              <w:left w:val="single" w:sz="4" w:space="0" w:color="000000"/>
              <w:bottom w:val="single" w:sz="4" w:space="0" w:color="000000"/>
            </w:tcBorders>
            <w:shd w:val="clear" w:color="auto" w:fill="auto"/>
            <w:vAlign w:val="center"/>
          </w:tcPr>
          <w:p w14:paraId="13658264" w14:textId="77777777" w:rsidR="00C731A4" w:rsidRPr="0088324D" w:rsidRDefault="00C731A4" w:rsidP="00580CA6">
            <w:pPr>
              <w:spacing w:after="0" w:line="240" w:lineRule="auto"/>
              <w:jc w:val="center"/>
              <w:rPr>
                <w:rFonts w:ascii="Times New Roman" w:hAnsi="Times New Roman"/>
                <w:sz w:val="16"/>
                <w:szCs w:val="16"/>
              </w:rPr>
            </w:pPr>
            <w:r>
              <w:rPr>
                <w:rFonts w:ascii="Times New Roman" w:hAnsi="Times New Roman"/>
                <w:sz w:val="16"/>
                <w:szCs w:val="16"/>
              </w:rPr>
              <w:t>0,91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3847E5C2" w14:textId="77777777" w:rsidR="00C731A4" w:rsidRDefault="00C731A4" w:rsidP="00580CA6">
            <w:pPr>
              <w:spacing w:after="0" w:line="240" w:lineRule="auto"/>
            </w:pPr>
            <w:r>
              <w:rPr>
                <w:rFonts w:ascii="Times New Roman" w:hAnsi="Times New Roman"/>
                <w:sz w:val="16"/>
              </w:rPr>
              <w:t xml:space="preserve">Zachowany </w:t>
            </w:r>
          </w:p>
        </w:tc>
      </w:tr>
      <w:tr w:rsidR="00C731A4" w14:paraId="4275B506" w14:textId="77777777" w:rsidTr="00B57381">
        <w:tc>
          <w:tcPr>
            <w:tcW w:w="4361" w:type="dxa"/>
            <w:tcBorders>
              <w:top w:val="single" w:sz="4" w:space="0" w:color="000000"/>
              <w:left w:val="single" w:sz="4" w:space="0" w:color="000000"/>
              <w:bottom w:val="single" w:sz="4" w:space="0" w:color="000000"/>
            </w:tcBorders>
            <w:shd w:val="clear" w:color="auto" w:fill="auto"/>
          </w:tcPr>
          <w:p w14:paraId="51BFDF85" w14:textId="77777777" w:rsidR="00C731A4" w:rsidRDefault="00C731A4" w:rsidP="00580CA6">
            <w:pPr>
              <w:spacing w:after="0" w:line="240" w:lineRule="auto"/>
            </w:pPr>
            <w:r>
              <w:rPr>
                <w:rFonts w:ascii="Times New Roman" w:hAnsi="Times New Roman"/>
                <w:sz w:val="16"/>
              </w:rPr>
              <w:t>Wskaźnik płynności do 1 roku</w:t>
            </w:r>
          </w:p>
        </w:tc>
        <w:tc>
          <w:tcPr>
            <w:tcW w:w="2268" w:type="dxa"/>
            <w:tcBorders>
              <w:top w:val="single" w:sz="4" w:space="0" w:color="000000"/>
              <w:left w:val="single" w:sz="4" w:space="0" w:color="000000"/>
              <w:bottom w:val="single" w:sz="4" w:space="0" w:color="000000"/>
            </w:tcBorders>
            <w:shd w:val="clear" w:color="auto" w:fill="auto"/>
            <w:vAlign w:val="center"/>
          </w:tcPr>
          <w:p w14:paraId="48EED1AD" w14:textId="77777777" w:rsidR="00C731A4" w:rsidRDefault="00C731A4" w:rsidP="00580CA6">
            <w:pPr>
              <w:spacing w:after="0" w:line="240" w:lineRule="auto"/>
              <w:jc w:val="center"/>
            </w:pPr>
            <w:r>
              <w:rPr>
                <w:rFonts w:ascii="Times New Roman" w:hAnsi="Times New Roman"/>
                <w:sz w:val="16"/>
              </w:rPr>
              <w:t>0,80</w:t>
            </w:r>
          </w:p>
        </w:tc>
        <w:tc>
          <w:tcPr>
            <w:tcW w:w="1417" w:type="dxa"/>
            <w:tcBorders>
              <w:top w:val="single" w:sz="4" w:space="0" w:color="000000"/>
              <w:left w:val="single" w:sz="4" w:space="0" w:color="000000"/>
              <w:bottom w:val="single" w:sz="4" w:space="0" w:color="000000"/>
            </w:tcBorders>
            <w:shd w:val="clear" w:color="auto" w:fill="auto"/>
            <w:vAlign w:val="center"/>
          </w:tcPr>
          <w:p w14:paraId="0CEEA3F5" w14:textId="77777777" w:rsidR="00C731A4" w:rsidRPr="0088324D" w:rsidRDefault="00C731A4" w:rsidP="00580CA6">
            <w:pPr>
              <w:spacing w:after="0" w:line="240" w:lineRule="auto"/>
              <w:jc w:val="center"/>
              <w:rPr>
                <w:rFonts w:ascii="Times New Roman" w:hAnsi="Times New Roman"/>
                <w:sz w:val="16"/>
                <w:szCs w:val="16"/>
              </w:rPr>
            </w:pPr>
            <w:r>
              <w:rPr>
                <w:rFonts w:ascii="Times New Roman" w:hAnsi="Times New Roman"/>
                <w:sz w:val="16"/>
                <w:szCs w:val="16"/>
              </w:rPr>
              <w:t>0,88</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3A1493C5" w14:textId="77777777" w:rsidR="00C731A4" w:rsidRDefault="00C731A4" w:rsidP="00580CA6">
            <w:pPr>
              <w:spacing w:after="0" w:line="240" w:lineRule="auto"/>
            </w:pPr>
            <w:r>
              <w:rPr>
                <w:rFonts w:ascii="Times New Roman" w:hAnsi="Times New Roman"/>
                <w:sz w:val="16"/>
              </w:rPr>
              <w:t>Zachowany</w:t>
            </w:r>
          </w:p>
        </w:tc>
      </w:tr>
      <w:tr w:rsidR="00C731A4" w14:paraId="081C60FF" w14:textId="77777777" w:rsidTr="00B57381">
        <w:tc>
          <w:tcPr>
            <w:tcW w:w="4361" w:type="dxa"/>
            <w:tcBorders>
              <w:top w:val="single" w:sz="4" w:space="0" w:color="000000"/>
              <w:left w:val="single" w:sz="4" w:space="0" w:color="000000"/>
              <w:bottom w:val="single" w:sz="4" w:space="0" w:color="000000"/>
            </w:tcBorders>
            <w:shd w:val="clear" w:color="auto" w:fill="auto"/>
          </w:tcPr>
          <w:p w14:paraId="38AE7375" w14:textId="77777777" w:rsidR="00C731A4" w:rsidRDefault="00C731A4" w:rsidP="00580CA6">
            <w:pPr>
              <w:spacing w:after="0" w:line="240" w:lineRule="auto"/>
            </w:pPr>
            <w:r>
              <w:rPr>
                <w:rFonts w:ascii="Times New Roman" w:hAnsi="Times New Roman"/>
                <w:sz w:val="16"/>
              </w:rPr>
              <w:t>Wskaźnik płynności do 3 lat</w:t>
            </w:r>
          </w:p>
        </w:tc>
        <w:tc>
          <w:tcPr>
            <w:tcW w:w="2268" w:type="dxa"/>
            <w:tcBorders>
              <w:top w:val="single" w:sz="4" w:space="0" w:color="000000"/>
              <w:left w:val="single" w:sz="4" w:space="0" w:color="000000"/>
              <w:bottom w:val="single" w:sz="4" w:space="0" w:color="000000"/>
            </w:tcBorders>
            <w:shd w:val="clear" w:color="auto" w:fill="auto"/>
            <w:vAlign w:val="center"/>
          </w:tcPr>
          <w:p w14:paraId="179025E6" w14:textId="77777777" w:rsidR="00C731A4" w:rsidRDefault="00C731A4" w:rsidP="00580CA6">
            <w:pPr>
              <w:spacing w:after="0" w:line="240" w:lineRule="auto"/>
              <w:jc w:val="center"/>
            </w:pPr>
            <w:r>
              <w:rPr>
                <w:rFonts w:ascii="Times New Roman" w:hAnsi="Times New Roman"/>
                <w:sz w:val="16"/>
              </w:rPr>
              <w:t>0,80</w:t>
            </w:r>
          </w:p>
        </w:tc>
        <w:tc>
          <w:tcPr>
            <w:tcW w:w="1417" w:type="dxa"/>
            <w:tcBorders>
              <w:top w:val="single" w:sz="4" w:space="0" w:color="000000"/>
              <w:left w:val="single" w:sz="4" w:space="0" w:color="000000"/>
              <w:bottom w:val="single" w:sz="4" w:space="0" w:color="000000"/>
            </w:tcBorders>
            <w:shd w:val="clear" w:color="auto" w:fill="auto"/>
            <w:vAlign w:val="center"/>
          </w:tcPr>
          <w:p w14:paraId="100AAC98" w14:textId="77777777" w:rsidR="00C731A4" w:rsidRPr="0088324D" w:rsidRDefault="00C731A4" w:rsidP="00580CA6">
            <w:pPr>
              <w:spacing w:after="0" w:line="240" w:lineRule="auto"/>
              <w:jc w:val="center"/>
              <w:rPr>
                <w:rFonts w:ascii="Times New Roman" w:hAnsi="Times New Roman"/>
                <w:sz w:val="16"/>
                <w:szCs w:val="16"/>
              </w:rPr>
            </w:pPr>
            <w:r>
              <w:rPr>
                <w:rFonts w:ascii="Times New Roman" w:hAnsi="Times New Roman"/>
                <w:sz w:val="16"/>
                <w:szCs w:val="16"/>
              </w:rPr>
              <w:t>0,91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48BF400" w14:textId="77777777" w:rsidR="00C731A4" w:rsidRDefault="00C731A4" w:rsidP="00580CA6">
            <w:pPr>
              <w:spacing w:after="0" w:line="240" w:lineRule="auto"/>
            </w:pPr>
            <w:r>
              <w:rPr>
                <w:rFonts w:ascii="Times New Roman" w:hAnsi="Times New Roman"/>
                <w:sz w:val="16"/>
              </w:rPr>
              <w:t>Zachowany</w:t>
            </w:r>
          </w:p>
        </w:tc>
      </w:tr>
      <w:tr w:rsidR="00C731A4" w14:paraId="098099F1" w14:textId="77777777" w:rsidTr="00B57381">
        <w:trPr>
          <w:trHeight w:val="161"/>
        </w:trPr>
        <w:tc>
          <w:tcPr>
            <w:tcW w:w="4361" w:type="dxa"/>
            <w:tcBorders>
              <w:top w:val="single" w:sz="4" w:space="0" w:color="000000"/>
              <w:left w:val="single" w:sz="4" w:space="0" w:color="000000"/>
              <w:bottom w:val="single" w:sz="4" w:space="0" w:color="000000"/>
            </w:tcBorders>
            <w:shd w:val="clear" w:color="auto" w:fill="auto"/>
          </w:tcPr>
          <w:p w14:paraId="43C1C491" w14:textId="77777777" w:rsidR="00C731A4" w:rsidRDefault="00C731A4" w:rsidP="00580CA6">
            <w:pPr>
              <w:spacing w:after="0" w:line="240" w:lineRule="auto"/>
            </w:pPr>
            <w:r>
              <w:rPr>
                <w:rFonts w:ascii="Times New Roman" w:hAnsi="Times New Roman"/>
                <w:sz w:val="16"/>
              </w:rPr>
              <w:t>Wskaźnik płynności do 5 lat</w:t>
            </w:r>
          </w:p>
        </w:tc>
        <w:tc>
          <w:tcPr>
            <w:tcW w:w="2268" w:type="dxa"/>
            <w:tcBorders>
              <w:top w:val="single" w:sz="4" w:space="0" w:color="000000"/>
              <w:left w:val="single" w:sz="4" w:space="0" w:color="000000"/>
              <w:bottom w:val="single" w:sz="4" w:space="0" w:color="000000"/>
            </w:tcBorders>
            <w:shd w:val="clear" w:color="auto" w:fill="auto"/>
            <w:vAlign w:val="center"/>
          </w:tcPr>
          <w:p w14:paraId="7B9ED5C6" w14:textId="77777777" w:rsidR="00C731A4" w:rsidRDefault="00C731A4" w:rsidP="00580CA6">
            <w:pPr>
              <w:spacing w:after="0" w:line="240" w:lineRule="auto"/>
              <w:jc w:val="center"/>
            </w:pPr>
            <w:r>
              <w:rPr>
                <w:rFonts w:ascii="Times New Roman" w:hAnsi="Times New Roman"/>
                <w:sz w:val="16"/>
              </w:rPr>
              <w:t>0,30</w:t>
            </w:r>
          </w:p>
        </w:tc>
        <w:tc>
          <w:tcPr>
            <w:tcW w:w="1417" w:type="dxa"/>
            <w:tcBorders>
              <w:top w:val="single" w:sz="4" w:space="0" w:color="000000"/>
              <w:left w:val="single" w:sz="4" w:space="0" w:color="000000"/>
              <w:bottom w:val="single" w:sz="4" w:space="0" w:color="000000"/>
            </w:tcBorders>
            <w:shd w:val="clear" w:color="auto" w:fill="auto"/>
            <w:vAlign w:val="center"/>
          </w:tcPr>
          <w:p w14:paraId="177C0ABD" w14:textId="77777777" w:rsidR="00C731A4" w:rsidRPr="0088324D" w:rsidRDefault="00C731A4" w:rsidP="00580CA6">
            <w:pPr>
              <w:spacing w:after="0" w:line="240" w:lineRule="auto"/>
              <w:jc w:val="center"/>
              <w:rPr>
                <w:rFonts w:ascii="Times New Roman" w:hAnsi="Times New Roman"/>
                <w:sz w:val="16"/>
                <w:szCs w:val="16"/>
              </w:rPr>
            </w:pPr>
            <w:r>
              <w:rPr>
                <w:rFonts w:ascii="Times New Roman" w:hAnsi="Times New Roman"/>
                <w:sz w:val="16"/>
                <w:szCs w:val="16"/>
              </w:rPr>
              <w:t>0,87</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CB4A73D" w14:textId="77777777" w:rsidR="00C731A4" w:rsidRDefault="00C731A4" w:rsidP="00580CA6">
            <w:pPr>
              <w:spacing w:after="0" w:line="240" w:lineRule="auto"/>
            </w:pPr>
            <w:r>
              <w:rPr>
                <w:rFonts w:ascii="Times New Roman" w:hAnsi="Times New Roman"/>
                <w:sz w:val="16"/>
              </w:rPr>
              <w:t xml:space="preserve">Zachowany </w:t>
            </w:r>
          </w:p>
        </w:tc>
      </w:tr>
      <w:tr w:rsidR="00C731A4" w14:paraId="2B49E1D0" w14:textId="77777777" w:rsidTr="00B57381">
        <w:tc>
          <w:tcPr>
            <w:tcW w:w="4361" w:type="dxa"/>
            <w:tcBorders>
              <w:top w:val="single" w:sz="4" w:space="0" w:color="000000"/>
              <w:left w:val="single" w:sz="4" w:space="0" w:color="000000"/>
              <w:bottom w:val="single" w:sz="4" w:space="0" w:color="000000"/>
            </w:tcBorders>
            <w:shd w:val="clear" w:color="auto" w:fill="auto"/>
          </w:tcPr>
          <w:p w14:paraId="259E70AB" w14:textId="77777777" w:rsidR="00C731A4" w:rsidRDefault="00C731A4" w:rsidP="00580CA6">
            <w:pPr>
              <w:spacing w:after="0" w:line="240" w:lineRule="auto"/>
            </w:pPr>
            <w:r>
              <w:rPr>
                <w:rFonts w:ascii="Times New Roman" w:hAnsi="Times New Roman"/>
                <w:sz w:val="16"/>
              </w:rPr>
              <w:t>Wskaźnik płynności powyżej 5 lat</w:t>
            </w:r>
          </w:p>
        </w:tc>
        <w:tc>
          <w:tcPr>
            <w:tcW w:w="2268" w:type="dxa"/>
            <w:tcBorders>
              <w:top w:val="single" w:sz="4" w:space="0" w:color="000000"/>
              <w:left w:val="single" w:sz="4" w:space="0" w:color="000000"/>
              <w:bottom w:val="single" w:sz="4" w:space="0" w:color="000000"/>
            </w:tcBorders>
            <w:shd w:val="clear" w:color="auto" w:fill="auto"/>
            <w:vAlign w:val="center"/>
          </w:tcPr>
          <w:p w14:paraId="4A5519DA" w14:textId="77777777" w:rsidR="00C731A4" w:rsidRDefault="00C731A4" w:rsidP="00580CA6">
            <w:pPr>
              <w:spacing w:after="0" w:line="240" w:lineRule="auto"/>
              <w:jc w:val="center"/>
            </w:pPr>
            <w:r>
              <w:rPr>
                <w:rFonts w:ascii="Times New Roman" w:hAnsi="Times New Roman"/>
                <w:sz w:val="16"/>
              </w:rPr>
              <w:t>0,90</w:t>
            </w:r>
          </w:p>
        </w:tc>
        <w:tc>
          <w:tcPr>
            <w:tcW w:w="1417" w:type="dxa"/>
            <w:tcBorders>
              <w:top w:val="single" w:sz="4" w:space="0" w:color="000000"/>
              <w:left w:val="single" w:sz="4" w:space="0" w:color="000000"/>
              <w:bottom w:val="single" w:sz="4" w:space="0" w:color="000000"/>
            </w:tcBorders>
            <w:shd w:val="clear" w:color="auto" w:fill="auto"/>
            <w:vAlign w:val="center"/>
          </w:tcPr>
          <w:p w14:paraId="3DCD8FD8" w14:textId="77777777" w:rsidR="00C731A4" w:rsidRPr="0088324D" w:rsidRDefault="00C731A4" w:rsidP="00580CA6">
            <w:pPr>
              <w:spacing w:after="0" w:line="240" w:lineRule="auto"/>
              <w:jc w:val="center"/>
              <w:rPr>
                <w:rFonts w:ascii="Times New Roman" w:hAnsi="Times New Roman"/>
                <w:sz w:val="16"/>
                <w:szCs w:val="16"/>
              </w:rPr>
            </w:pPr>
            <w:r>
              <w:rPr>
                <w:rFonts w:ascii="Times New Roman" w:hAnsi="Times New Roman"/>
                <w:sz w:val="16"/>
                <w:szCs w:val="16"/>
              </w:rPr>
              <w:t>0,96</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2142E88" w14:textId="77777777" w:rsidR="00C731A4" w:rsidRDefault="00C731A4" w:rsidP="00580CA6">
            <w:pPr>
              <w:spacing w:after="0" w:line="240" w:lineRule="auto"/>
            </w:pPr>
            <w:r>
              <w:rPr>
                <w:rFonts w:ascii="Times New Roman" w:hAnsi="Times New Roman"/>
                <w:sz w:val="16"/>
              </w:rPr>
              <w:t xml:space="preserve">Zachowany </w:t>
            </w:r>
          </w:p>
        </w:tc>
      </w:tr>
    </w:tbl>
    <w:p w14:paraId="1FD64844" w14:textId="77777777" w:rsidR="00B57381" w:rsidRDefault="00B57381" w:rsidP="00B57381">
      <w:pPr>
        <w:pStyle w:val="Akapitzlist"/>
        <w:spacing w:after="0"/>
        <w:ind w:left="0" w:firstLine="340"/>
        <w:jc w:val="both"/>
        <w:rPr>
          <w:rFonts w:ascii="Times New Roman" w:hAnsi="Times New Roman"/>
          <w:sz w:val="20"/>
        </w:rPr>
      </w:pPr>
    </w:p>
    <w:p w14:paraId="0856427E" w14:textId="77777777" w:rsidR="00B57381" w:rsidRPr="0097024A" w:rsidRDefault="00B57381" w:rsidP="00B57381">
      <w:pPr>
        <w:pStyle w:val="Akapitzlist"/>
        <w:spacing w:after="0"/>
        <w:ind w:left="0"/>
        <w:jc w:val="both"/>
        <w:rPr>
          <w:rFonts w:ascii="Times New Roman" w:hAnsi="Times New Roman"/>
          <w:color w:val="FF0000"/>
          <w:sz w:val="20"/>
          <w:szCs w:val="20"/>
        </w:rPr>
      </w:pPr>
      <w:r w:rsidRPr="00031269">
        <w:rPr>
          <w:rFonts w:ascii="Times New Roman" w:hAnsi="Times New Roman"/>
          <w:sz w:val="20"/>
        </w:rPr>
        <w:t>Wskaźniki płynności na dzień analizy zostały zachowane</w:t>
      </w:r>
      <w:r>
        <w:rPr>
          <w:rFonts w:ascii="Times New Roman" w:hAnsi="Times New Roman"/>
          <w:color w:val="000000"/>
          <w:sz w:val="20"/>
          <w:szCs w:val="20"/>
        </w:rPr>
        <w:t>, z wyjątkiem wskaźnika</w:t>
      </w:r>
      <w:r w:rsidRPr="0097024A">
        <w:rPr>
          <w:rFonts w:ascii="Times New Roman" w:hAnsi="Times New Roman"/>
          <w:color w:val="000000"/>
          <w:sz w:val="20"/>
          <w:szCs w:val="20"/>
        </w:rPr>
        <w:t xml:space="preserve"> płynności do 3 m-cy. Związane jest to z dużą ilością depozytów bieżących w pasywach, które na dzień analizy stanowią </w:t>
      </w:r>
      <w:r>
        <w:rPr>
          <w:rFonts w:ascii="Times New Roman" w:hAnsi="Times New Roman"/>
          <w:color w:val="000000"/>
          <w:sz w:val="20"/>
          <w:szCs w:val="20"/>
        </w:rPr>
        <w:t>71,51</w:t>
      </w:r>
      <w:r w:rsidRPr="0097024A">
        <w:rPr>
          <w:rFonts w:ascii="Times New Roman" w:hAnsi="Times New Roman"/>
          <w:color w:val="000000"/>
          <w:sz w:val="20"/>
          <w:szCs w:val="20"/>
        </w:rPr>
        <w:t xml:space="preserve">% bazy depozytowej. Do depozytów bieżących zaliczają się m.in. rachunki oszczędnościowe KONTO-EFEKT (termin a’vista), rachunki oszczędnościowe w walucie oraz książeczki oszczędnościowe. Stanowią one </w:t>
      </w:r>
      <w:r>
        <w:rPr>
          <w:rFonts w:ascii="Times New Roman" w:hAnsi="Times New Roman"/>
          <w:color w:val="000000"/>
          <w:sz w:val="20"/>
          <w:szCs w:val="20"/>
        </w:rPr>
        <w:t>7,21</w:t>
      </w:r>
      <w:r w:rsidRPr="0097024A">
        <w:rPr>
          <w:rFonts w:ascii="Times New Roman" w:hAnsi="Times New Roman"/>
          <w:color w:val="000000"/>
          <w:sz w:val="20"/>
          <w:szCs w:val="20"/>
        </w:rPr>
        <w:t>% depozytów bieżących. Klienci ze względu na bardzo niskie oprocentowanie depozytów terminowych przechowują i gromadzą swoje środki pieniężne na wspomniany</w:t>
      </w:r>
      <w:r>
        <w:rPr>
          <w:rFonts w:ascii="Times New Roman" w:hAnsi="Times New Roman"/>
          <w:color w:val="000000"/>
          <w:sz w:val="20"/>
          <w:szCs w:val="20"/>
        </w:rPr>
        <w:t>ch</w:t>
      </w:r>
      <w:r w:rsidRPr="0097024A">
        <w:rPr>
          <w:rFonts w:ascii="Times New Roman" w:hAnsi="Times New Roman"/>
          <w:color w:val="000000"/>
          <w:sz w:val="20"/>
          <w:szCs w:val="20"/>
        </w:rPr>
        <w:t xml:space="preserve"> rachunk</w:t>
      </w:r>
      <w:r>
        <w:rPr>
          <w:rFonts w:ascii="Times New Roman" w:hAnsi="Times New Roman"/>
          <w:color w:val="000000"/>
          <w:sz w:val="20"/>
          <w:szCs w:val="20"/>
        </w:rPr>
        <w:t>ach</w:t>
      </w:r>
      <w:r w:rsidRPr="0097024A">
        <w:rPr>
          <w:rFonts w:ascii="Times New Roman" w:hAnsi="Times New Roman"/>
          <w:color w:val="000000"/>
          <w:sz w:val="20"/>
          <w:szCs w:val="20"/>
        </w:rPr>
        <w:t xml:space="preserve"> zamiast na rachunkach terminowych. Nie stanowi to zagrożenia dla płynności, gdyż dynamika na </w:t>
      </w:r>
      <w:r>
        <w:rPr>
          <w:rFonts w:ascii="Times New Roman" w:hAnsi="Times New Roman"/>
          <w:color w:val="000000"/>
          <w:sz w:val="20"/>
          <w:szCs w:val="20"/>
        </w:rPr>
        <w:t xml:space="preserve">tych </w:t>
      </w:r>
      <w:r w:rsidRPr="0097024A">
        <w:rPr>
          <w:rFonts w:ascii="Times New Roman" w:hAnsi="Times New Roman"/>
          <w:color w:val="000000"/>
          <w:sz w:val="20"/>
          <w:szCs w:val="20"/>
        </w:rPr>
        <w:t xml:space="preserve">rachunkach jest niewielka. Na dzień analizy środki zgromadzone na wspomnianych rachunkach </w:t>
      </w:r>
      <w:r>
        <w:rPr>
          <w:rFonts w:ascii="Times New Roman" w:hAnsi="Times New Roman"/>
          <w:color w:val="000000"/>
          <w:sz w:val="20"/>
          <w:szCs w:val="20"/>
        </w:rPr>
        <w:t>oszczędnościowych wynosiły 7.026,79</w:t>
      </w:r>
      <w:r w:rsidRPr="0097024A">
        <w:rPr>
          <w:rFonts w:ascii="Times New Roman" w:hAnsi="Times New Roman"/>
          <w:color w:val="000000"/>
          <w:sz w:val="20"/>
          <w:szCs w:val="20"/>
        </w:rPr>
        <w:t xml:space="preserve"> tyś. zł. Gdyby wspomniane rachunki zostały uwzględnione w dalszym przedziale czasowym to wskaźnik płynności krótkoter</w:t>
      </w:r>
      <w:r>
        <w:rPr>
          <w:rFonts w:ascii="Times New Roman" w:hAnsi="Times New Roman"/>
          <w:color w:val="000000"/>
          <w:sz w:val="20"/>
          <w:szCs w:val="20"/>
        </w:rPr>
        <w:t>minowej do 3 m-cy wyniósłby 1,07</w:t>
      </w:r>
      <w:r w:rsidRPr="0097024A">
        <w:rPr>
          <w:rFonts w:ascii="Times New Roman" w:hAnsi="Times New Roman"/>
          <w:color w:val="000000"/>
          <w:sz w:val="20"/>
          <w:szCs w:val="20"/>
        </w:rPr>
        <w:t>%.</w:t>
      </w:r>
    </w:p>
    <w:p w14:paraId="4564EEDB" w14:textId="77777777" w:rsidR="00C731A4" w:rsidRDefault="00C731A4" w:rsidP="00C573C5">
      <w:pPr>
        <w:spacing w:after="0"/>
        <w:jc w:val="both"/>
        <w:rPr>
          <w:rFonts w:ascii="Times New Roman" w:hAnsi="Times New Roman"/>
        </w:rPr>
      </w:pPr>
    </w:p>
    <w:p w14:paraId="74D475D8" w14:textId="15B9D269" w:rsidR="00B57381" w:rsidRDefault="00B57381" w:rsidP="00C573C5">
      <w:pPr>
        <w:spacing w:after="0"/>
        <w:jc w:val="both"/>
        <w:rPr>
          <w:rFonts w:ascii="Times New Roman" w:hAnsi="Times New Roman"/>
        </w:rPr>
      </w:pPr>
      <w:r>
        <w:rPr>
          <w:rFonts w:ascii="Times New Roman" w:hAnsi="Times New Roman"/>
          <w:sz w:val="20"/>
        </w:rPr>
        <w:t>Wskaźnik dźwigni finansowej liczony jako miara kapitału TIER 1 podzielony przez miarę ekspozycji całkowitej Banku na dzień analizy jest na dobrym poziomie i wynosi 4,42</w:t>
      </w:r>
      <w:r w:rsidRPr="00F217A0">
        <w:rPr>
          <w:rFonts w:ascii="Times New Roman" w:hAnsi="Times New Roman"/>
          <w:sz w:val="20"/>
        </w:rPr>
        <w:t>%.</w:t>
      </w:r>
    </w:p>
    <w:p w14:paraId="7FFFFAFB" w14:textId="77777777" w:rsidR="00C731A4" w:rsidRDefault="00C731A4" w:rsidP="00C573C5">
      <w:pPr>
        <w:spacing w:after="0"/>
        <w:jc w:val="both"/>
        <w:rPr>
          <w:rFonts w:ascii="Times New Roman" w:hAnsi="Times New Roman"/>
        </w:rPr>
      </w:pPr>
    </w:p>
    <w:p w14:paraId="21FE5F2D" w14:textId="77777777" w:rsidR="00E8107E" w:rsidRDefault="00E8107E" w:rsidP="005C2CE0">
      <w:pPr>
        <w:jc w:val="both"/>
        <w:rPr>
          <w:rFonts w:ascii="Times New Roman" w:hAnsi="Times New Roman" w:cs="Times New Roman"/>
        </w:rPr>
      </w:pPr>
    </w:p>
    <w:p w14:paraId="36960A07" w14:textId="4A166350" w:rsidR="00E8107E" w:rsidRDefault="00E8107E" w:rsidP="005C2CE0">
      <w:pPr>
        <w:jc w:val="both"/>
        <w:rPr>
          <w:rFonts w:ascii="Times New Roman" w:hAnsi="Times New Roman" w:cs="Times New Roman"/>
          <w:b/>
        </w:rPr>
      </w:pPr>
      <w:r w:rsidRPr="00E8107E">
        <w:rPr>
          <w:rFonts w:ascii="Times New Roman" w:hAnsi="Times New Roman" w:cs="Times New Roman"/>
          <w:b/>
        </w:rPr>
        <w:t>XVII</w:t>
      </w:r>
      <w:r w:rsidR="00B40B8C">
        <w:rPr>
          <w:rFonts w:ascii="Times New Roman" w:hAnsi="Times New Roman" w:cs="Times New Roman"/>
          <w:b/>
        </w:rPr>
        <w:t>I</w:t>
      </w:r>
      <w:r w:rsidRPr="00E8107E">
        <w:rPr>
          <w:rFonts w:ascii="Times New Roman" w:hAnsi="Times New Roman" w:cs="Times New Roman"/>
          <w:b/>
        </w:rPr>
        <w:t xml:space="preserve">. </w:t>
      </w:r>
      <w:r w:rsidR="005E7617">
        <w:rPr>
          <w:rFonts w:ascii="Times New Roman" w:hAnsi="Times New Roman" w:cs="Times New Roman"/>
          <w:b/>
        </w:rPr>
        <w:t>DODATKOWE INFORMACJE WYMAGANE P</w:t>
      </w:r>
      <w:r w:rsidRPr="00E8107E">
        <w:rPr>
          <w:rFonts w:ascii="Times New Roman" w:hAnsi="Times New Roman" w:cs="Times New Roman"/>
          <w:b/>
        </w:rPr>
        <w:t xml:space="preserve">RZEZ ROZPORZĄDZENIA 575/2013 UE </w:t>
      </w:r>
    </w:p>
    <w:p w14:paraId="1F94631F" w14:textId="410B063B" w:rsidR="0074565D" w:rsidRPr="005E7617" w:rsidRDefault="0074565D" w:rsidP="00B57381">
      <w:pPr>
        <w:jc w:val="both"/>
        <w:rPr>
          <w:rFonts w:ascii="Times New Roman" w:hAnsi="Times New Roman"/>
        </w:rPr>
      </w:pPr>
      <w:r w:rsidRPr="005E7617">
        <w:rPr>
          <w:rFonts w:ascii="Times New Roman" w:hAnsi="Times New Roman"/>
        </w:rPr>
        <w:t>Na podstawie zapisów Instrukcji sporządzania informacji zarządczej Zarząd przeprowadził przegląd struktury organizacyjnej Banku.</w:t>
      </w:r>
      <w:r w:rsidR="00750ACC" w:rsidRPr="005E7617">
        <w:rPr>
          <w:rFonts w:ascii="Times New Roman" w:hAnsi="Times New Roman"/>
        </w:rPr>
        <w:t xml:space="preserve"> </w:t>
      </w:r>
      <w:r w:rsidRPr="005E7617">
        <w:rPr>
          <w:rFonts w:ascii="Times New Roman" w:hAnsi="Times New Roman"/>
        </w:rPr>
        <w:t>Na podstawie przeprowadzonej weryfikacji nie wprowadzanie zmian w strukturze organizacyjnej Banku. Aktualna struktura jest dostosowana do skali, profilu i złożoności działalności oraz zapewnia rozdzielenie funkcji operacyjnej od oceny ryzyka, które ta działalność generuje.</w:t>
      </w:r>
      <w:r w:rsidR="00B662C6" w:rsidRPr="005E7617">
        <w:rPr>
          <w:rFonts w:ascii="Times New Roman" w:hAnsi="Times New Roman"/>
        </w:rPr>
        <w:t xml:space="preserve"> </w:t>
      </w:r>
      <w:r w:rsidRPr="005E7617">
        <w:rPr>
          <w:rFonts w:ascii="Times New Roman" w:hAnsi="Times New Roman"/>
        </w:rPr>
        <w:t>Struktura spełnia również zadania pod k</w:t>
      </w:r>
      <w:r w:rsidR="00AB455A">
        <w:rPr>
          <w:rFonts w:ascii="Times New Roman" w:hAnsi="Times New Roman"/>
        </w:rPr>
        <w:t>ą</w:t>
      </w:r>
      <w:r w:rsidRPr="005E7617">
        <w:rPr>
          <w:rFonts w:ascii="Times New Roman" w:hAnsi="Times New Roman"/>
        </w:rPr>
        <w:t>tem kontroli i bezpieczeństwa funkcjonowania.</w:t>
      </w:r>
    </w:p>
    <w:p w14:paraId="1AAB53A3" w14:textId="77777777" w:rsidR="0074565D" w:rsidRPr="005E7617" w:rsidRDefault="0074565D" w:rsidP="0074565D">
      <w:pPr>
        <w:jc w:val="both"/>
        <w:rPr>
          <w:rFonts w:ascii="Times New Roman" w:hAnsi="Times New Roman"/>
        </w:rPr>
      </w:pPr>
      <w:r w:rsidRPr="005E7617">
        <w:rPr>
          <w:rFonts w:ascii="Times New Roman" w:hAnsi="Times New Roman"/>
        </w:rPr>
        <w:t>Ponadto Rada Nadzorcza zweryfikowała kwalifikacje członków Zarządu w zakresie ryzyka operacyjnego w oparciu o przedstawione zaświadczenia z ukończonych kursów, szkoleń.</w:t>
      </w:r>
    </w:p>
    <w:p w14:paraId="39B4509C" w14:textId="77777777" w:rsidR="0074565D" w:rsidRPr="005E7617" w:rsidRDefault="0074565D" w:rsidP="0074565D">
      <w:pPr>
        <w:jc w:val="both"/>
        <w:rPr>
          <w:rFonts w:ascii="Times New Roman" w:hAnsi="Times New Roman"/>
        </w:rPr>
      </w:pPr>
      <w:r w:rsidRPr="005E7617">
        <w:rPr>
          <w:rFonts w:ascii="Times New Roman" w:hAnsi="Times New Roman"/>
        </w:rPr>
        <w:t>Zarząd posiada kwalifikacje zapewniające realizację strategii zarządzania ryzykiem operacyjnym.</w:t>
      </w:r>
    </w:p>
    <w:p w14:paraId="55853395" w14:textId="77777777" w:rsidR="0074565D" w:rsidRDefault="0074565D" w:rsidP="0074565D">
      <w:pPr>
        <w:jc w:val="both"/>
        <w:rPr>
          <w:rFonts w:ascii="Times New Roman" w:hAnsi="Times New Roman"/>
        </w:rPr>
      </w:pPr>
      <w:r w:rsidRPr="005E7617">
        <w:rPr>
          <w:rFonts w:ascii="Times New Roman" w:hAnsi="Times New Roman"/>
        </w:rPr>
        <w:t xml:space="preserve">Obok struktury organizacyjnej dokonano przeglądu i aktualizacji regulacji organizacyjnych pod kątem zgodności z Ustawą o nadzorze makroostrożnościowym nad systemem finansowym i zarządzaniu kryzysowym w systemie finansowym z dn. 5.08.2015, która zawiera również zmiany w Prawie bankowym. Zmiany te dotyczą m.in. podziału i nadzoru nad ryzykami przez członków zarządu (art. 22a). Bank dostosował </w:t>
      </w:r>
      <w:r w:rsidR="005E7617">
        <w:rPr>
          <w:rFonts w:ascii="Times New Roman" w:hAnsi="Times New Roman"/>
        </w:rPr>
        <w:t>wewnętrzne regulacje.</w:t>
      </w:r>
    </w:p>
    <w:p w14:paraId="055BDA74" w14:textId="77777777" w:rsidR="001F3BB4" w:rsidRPr="005E7617" w:rsidRDefault="001F3BB4" w:rsidP="0074565D">
      <w:pPr>
        <w:jc w:val="both"/>
        <w:rPr>
          <w:rFonts w:ascii="Times New Roman" w:hAnsi="Times New Roman"/>
        </w:rPr>
      </w:pPr>
    </w:p>
    <w:p w14:paraId="7218BCD5" w14:textId="77777777" w:rsidR="00E8107E" w:rsidRPr="00E8107E" w:rsidRDefault="005E7617" w:rsidP="005C2CE0">
      <w:pPr>
        <w:jc w:val="both"/>
        <w:rPr>
          <w:rFonts w:ascii="Times New Roman" w:hAnsi="Times New Roman" w:cs="Times New Roman"/>
          <w:b/>
        </w:rPr>
      </w:pPr>
      <w:r>
        <w:rPr>
          <w:rFonts w:ascii="Times New Roman" w:hAnsi="Times New Roman" w:cs="Times New Roman"/>
          <w:b/>
        </w:rPr>
        <w:lastRenderedPageBreak/>
        <w:t>XVIII</w:t>
      </w:r>
      <w:r w:rsidR="00E8107E">
        <w:rPr>
          <w:rFonts w:ascii="Times New Roman" w:hAnsi="Times New Roman" w:cs="Times New Roman"/>
          <w:b/>
        </w:rPr>
        <w:t xml:space="preserve">. INFORMACJE WYMAGANE PRZEZ ZASADY ŁADU KORPORACYJNEGO </w:t>
      </w:r>
    </w:p>
    <w:p w14:paraId="3A113230" w14:textId="1B9E5C1B" w:rsidR="00AA767B" w:rsidRPr="001B7860" w:rsidRDefault="00AA767B" w:rsidP="00AA767B">
      <w:pPr>
        <w:jc w:val="both"/>
        <w:rPr>
          <w:rFonts w:ascii="Times New Roman" w:hAnsi="Times New Roman"/>
        </w:rPr>
      </w:pPr>
      <w:r w:rsidRPr="001B7860">
        <w:rPr>
          <w:rFonts w:ascii="Times New Roman" w:hAnsi="Times New Roman"/>
        </w:rPr>
        <w:t>W związku z zapisami Instrukcji sporządzania informacji zarządczej Rada</w:t>
      </w:r>
      <w:r w:rsidR="00214F0E">
        <w:rPr>
          <w:rFonts w:ascii="Times New Roman" w:hAnsi="Times New Roman"/>
        </w:rPr>
        <w:t xml:space="preserve"> Nadzorcza Banku przeprowadza coroczną </w:t>
      </w:r>
      <w:r w:rsidRPr="001B7860">
        <w:rPr>
          <w:rFonts w:ascii="Times New Roman" w:hAnsi="Times New Roman"/>
        </w:rPr>
        <w:t>ocenę stosowania zasad ładu korporacyjnego.</w:t>
      </w:r>
    </w:p>
    <w:p w14:paraId="40BF2A30" w14:textId="3918687C" w:rsidR="00AA767B" w:rsidRDefault="00AA767B" w:rsidP="005E7617">
      <w:pPr>
        <w:jc w:val="both"/>
        <w:rPr>
          <w:rFonts w:ascii="Times New Roman" w:hAnsi="Times New Roman"/>
        </w:rPr>
      </w:pPr>
      <w:r w:rsidRPr="001B7860">
        <w:rPr>
          <w:rFonts w:ascii="Times New Roman" w:hAnsi="Times New Roman"/>
        </w:rPr>
        <w:t xml:space="preserve">Zarząd Banku wprowadził „Zasady Ładu  Korporacyjnego” określone w dokumencie Komisji Nadzoru Finansowego poprzez </w:t>
      </w:r>
      <w:r>
        <w:rPr>
          <w:rFonts w:ascii="Times New Roman" w:hAnsi="Times New Roman"/>
        </w:rPr>
        <w:t>zaktualizowanie i dostosowanie regulacji</w:t>
      </w:r>
      <w:r w:rsidRPr="001B7860">
        <w:rPr>
          <w:rFonts w:ascii="Times New Roman" w:hAnsi="Times New Roman"/>
        </w:rPr>
        <w:t xml:space="preserve"> zgodnie z zasadą proporcjonalności i adekwatności wynikającą ze skali, charakteru dzia</w:t>
      </w:r>
      <w:r>
        <w:rPr>
          <w:rFonts w:ascii="Times New Roman" w:hAnsi="Times New Roman"/>
        </w:rPr>
        <w:t xml:space="preserve">łalności oraz specyfiki Banku. Należą do nich: </w:t>
      </w:r>
    </w:p>
    <w:p w14:paraId="00C2499C" w14:textId="77777777" w:rsidR="00AA767B" w:rsidRDefault="00AA767B" w:rsidP="009A6274">
      <w:pPr>
        <w:numPr>
          <w:ilvl w:val="0"/>
          <w:numId w:val="22"/>
        </w:numPr>
        <w:spacing w:after="0"/>
        <w:ind w:left="1423" w:hanging="357"/>
        <w:jc w:val="both"/>
        <w:rPr>
          <w:rFonts w:ascii="Times New Roman" w:hAnsi="Times New Roman"/>
        </w:rPr>
      </w:pPr>
      <w:r w:rsidRPr="00B941C6">
        <w:rPr>
          <w:rFonts w:ascii="Times New Roman" w:hAnsi="Times New Roman"/>
        </w:rPr>
        <w:t>Instrukcja  rozpatr</w:t>
      </w:r>
      <w:r>
        <w:rPr>
          <w:rFonts w:ascii="Times New Roman" w:hAnsi="Times New Roman"/>
        </w:rPr>
        <w:t>ywania</w:t>
      </w:r>
      <w:r w:rsidRPr="00B941C6">
        <w:rPr>
          <w:rFonts w:ascii="Times New Roman" w:hAnsi="Times New Roman"/>
        </w:rPr>
        <w:t xml:space="preserve"> </w:t>
      </w:r>
      <w:r>
        <w:rPr>
          <w:rFonts w:ascii="Times New Roman" w:hAnsi="Times New Roman"/>
        </w:rPr>
        <w:t>r</w:t>
      </w:r>
      <w:r w:rsidRPr="00B941C6">
        <w:rPr>
          <w:rFonts w:ascii="Times New Roman" w:hAnsi="Times New Roman"/>
        </w:rPr>
        <w:t>eklamacji</w:t>
      </w:r>
    </w:p>
    <w:p w14:paraId="388E94CD" w14:textId="77777777" w:rsidR="00AA767B" w:rsidRDefault="00AA767B" w:rsidP="009A6274">
      <w:pPr>
        <w:numPr>
          <w:ilvl w:val="0"/>
          <w:numId w:val="22"/>
        </w:numPr>
        <w:spacing w:after="0"/>
        <w:ind w:left="1423" w:hanging="357"/>
        <w:jc w:val="both"/>
        <w:rPr>
          <w:rFonts w:ascii="Times New Roman" w:hAnsi="Times New Roman"/>
        </w:rPr>
      </w:pPr>
      <w:r>
        <w:rPr>
          <w:rFonts w:ascii="Times New Roman" w:hAnsi="Times New Roman"/>
        </w:rPr>
        <w:t>Instrukcja zarządzania ryzykiem braku zgodności</w:t>
      </w:r>
    </w:p>
    <w:p w14:paraId="50EF5FFA" w14:textId="77777777" w:rsidR="00AA767B" w:rsidRDefault="00AA767B" w:rsidP="009A6274">
      <w:pPr>
        <w:numPr>
          <w:ilvl w:val="0"/>
          <w:numId w:val="22"/>
        </w:numPr>
        <w:spacing w:after="0"/>
        <w:ind w:left="1423" w:hanging="357"/>
        <w:jc w:val="both"/>
        <w:rPr>
          <w:rFonts w:ascii="Times New Roman" w:hAnsi="Times New Roman"/>
        </w:rPr>
      </w:pPr>
      <w:r>
        <w:rPr>
          <w:rFonts w:ascii="Times New Roman" w:hAnsi="Times New Roman"/>
        </w:rPr>
        <w:t>Polityka zarządzania ryzykiem braku zgodności</w:t>
      </w:r>
    </w:p>
    <w:p w14:paraId="0A41E785" w14:textId="77777777" w:rsidR="00AA767B" w:rsidRDefault="00AA767B" w:rsidP="009A6274">
      <w:pPr>
        <w:numPr>
          <w:ilvl w:val="0"/>
          <w:numId w:val="22"/>
        </w:numPr>
        <w:spacing w:after="0"/>
        <w:ind w:left="1423" w:hanging="357"/>
        <w:jc w:val="both"/>
        <w:rPr>
          <w:rFonts w:ascii="Times New Roman" w:hAnsi="Times New Roman"/>
        </w:rPr>
      </w:pPr>
      <w:r>
        <w:rPr>
          <w:rFonts w:ascii="Times New Roman" w:hAnsi="Times New Roman"/>
        </w:rPr>
        <w:t>Polityka informacyjna</w:t>
      </w:r>
    </w:p>
    <w:p w14:paraId="1D5B89CC" w14:textId="77777777" w:rsidR="00AA767B" w:rsidRDefault="00AA767B" w:rsidP="009A6274">
      <w:pPr>
        <w:numPr>
          <w:ilvl w:val="0"/>
          <w:numId w:val="22"/>
        </w:numPr>
        <w:spacing w:after="0"/>
        <w:ind w:left="1423" w:hanging="357"/>
        <w:jc w:val="both"/>
        <w:rPr>
          <w:rFonts w:ascii="Times New Roman" w:hAnsi="Times New Roman"/>
        </w:rPr>
      </w:pPr>
      <w:r>
        <w:rPr>
          <w:rFonts w:ascii="Times New Roman" w:hAnsi="Times New Roman"/>
        </w:rPr>
        <w:t>Regulamin działania Zarządu</w:t>
      </w:r>
    </w:p>
    <w:p w14:paraId="5BC21E97" w14:textId="77777777" w:rsidR="00AA767B" w:rsidRDefault="00AA767B" w:rsidP="009A6274">
      <w:pPr>
        <w:numPr>
          <w:ilvl w:val="0"/>
          <w:numId w:val="22"/>
        </w:numPr>
        <w:spacing w:after="0"/>
        <w:ind w:left="1423" w:hanging="357"/>
        <w:jc w:val="both"/>
        <w:rPr>
          <w:rFonts w:ascii="Times New Roman" w:hAnsi="Times New Roman"/>
        </w:rPr>
      </w:pPr>
      <w:r>
        <w:rPr>
          <w:rFonts w:ascii="Times New Roman" w:hAnsi="Times New Roman"/>
        </w:rPr>
        <w:t>Regulamin działania Rady Nadzorczej</w:t>
      </w:r>
    </w:p>
    <w:p w14:paraId="411C6BA2" w14:textId="77777777" w:rsidR="00AA767B" w:rsidRDefault="00AA767B" w:rsidP="009A6274">
      <w:pPr>
        <w:numPr>
          <w:ilvl w:val="0"/>
          <w:numId w:val="22"/>
        </w:numPr>
        <w:spacing w:after="0"/>
        <w:ind w:left="1423" w:hanging="357"/>
        <w:jc w:val="both"/>
        <w:rPr>
          <w:rFonts w:ascii="Times New Roman" w:hAnsi="Times New Roman"/>
        </w:rPr>
      </w:pPr>
      <w:r>
        <w:rPr>
          <w:rFonts w:ascii="Times New Roman" w:hAnsi="Times New Roman"/>
        </w:rPr>
        <w:t>Instrukcja System informacji zarządczej</w:t>
      </w:r>
    </w:p>
    <w:p w14:paraId="254035C7" w14:textId="77777777" w:rsidR="00214F0E" w:rsidRDefault="00214F0E" w:rsidP="00B57381">
      <w:pPr>
        <w:jc w:val="both"/>
        <w:rPr>
          <w:rFonts w:ascii="Times New Roman" w:hAnsi="Times New Roman"/>
        </w:rPr>
      </w:pPr>
      <w:bookmarkStart w:id="1" w:name="_GoBack"/>
      <w:bookmarkEnd w:id="1"/>
    </w:p>
    <w:p w14:paraId="2C27C38A" w14:textId="10E84128" w:rsidR="00B57381" w:rsidRDefault="00AA767B" w:rsidP="00B57381">
      <w:pPr>
        <w:jc w:val="both"/>
        <w:rPr>
          <w:rFonts w:ascii="Times New Roman" w:hAnsi="Times New Roman"/>
          <w:u w:val="single"/>
        </w:rPr>
      </w:pPr>
      <w:r w:rsidRPr="001B7860">
        <w:rPr>
          <w:rFonts w:ascii="Times New Roman" w:hAnsi="Times New Roman"/>
        </w:rPr>
        <w:t xml:space="preserve">Główne postanowienia „Zasad Ładu Korporacyjnego”, które, zgodnie z zasadą proporcjonalności, w ocenie Banku nie stosują się do Banku lub stosowane są w zmodyfikowanej postaci </w:t>
      </w:r>
      <w:r w:rsidR="00E952BA">
        <w:rPr>
          <w:rFonts w:ascii="Times New Roman" w:hAnsi="Times New Roman"/>
        </w:rPr>
        <w:t xml:space="preserve">są zamieszczone na stronie internetowej Banku </w:t>
      </w:r>
      <w:r w:rsidR="00E952BA" w:rsidRPr="00214F0E">
        <w:rPr>
          <w:rFonts w:ascii="Times New Roman" w:hAnsi="Times New Roman"/>
        </w:rPr>
        <w:t xml:space="preserve"> </w:t>
      </w:r>
      <w:hyperlink r:id="rId8" w:history="1">
        <w:r w:rsidR="00B57381" w:rsidRPr="00214F0E">
          <w:rPr>
            <w:rStyle w:val="Hipercze"/>
            <w:rFonts w:ascii="Times New Roman" w:hAnsi="Times New Roman"/>
            <w:color w:val="auto"/>
          </w:rPr>
          <w:t>www.bspodegrodzie.pl</w:t>
        </w:r>
      </w:hyperlink>
    </w:p>
    <w:p w14:paraId="2FD83BA1" w14:textId="77777777" w:rsidR="001F3BB4" w:rsidRDefault="001F3BB4" w:rsidP="00B57381">
      <w:pPr>
        <w:jc w:val="both"/>
        <w:rPr>
          <w:rFonts w:ascii="Times New Roman" w:hAnsi="Times New Roman" w:cs="Times New Roman"/>
          <w:b/>
        </w:rPr>
      </w:pPr>
    </w:p>
    <w:p w14:paraId="4E0B6A46" w14:textId="0C854A86" w:rsidR="00E952BA" w:rsidRDefault="00E82E68" w:rsidP="00B57381">
      <w:pPr>
        <w:jc w:val="both"/>
        <w:rPr>
          <w:rFonts w:ascii="Times New Roman" w:hAnsi="Times New Roman" w:cs="Times New Roman"/>
          <w:b/>
        </w:rPr>
      </w:pPr>
      <w:r w:rsidRPr="005C2CE0">
        <w:rPr>
          <w:rFonts w:ascii="Times New Roman" w:hAnsi="Times New Roman" w:cs="Times New Roman"/>
          <w:b/>
        </w:rPr>
        <w:t>Sporządził: Magdalena Bąba</w:t>
      </w:r>
      <w:r w:rsidRPr="005C2CE0">
        <w:rPr>
          <w:rFonts w:ascii="Times New Roman" w:hAnsi="Times New Roman" w:cs="Times New Roman"/>
          <w:b/>
        </w:rPr>
        <w:tab/>
      </w:r>
      <w:r w:rsidRPr="005C2CE0">
        <w:rPr>
          <w:rFonts w:ascii="Times New Roman" w:hAnsi="Times New Roman" w:cs="Times New Roman"/>
          <w:b/>
        </w:rPr>
        <w:tab/>
      </w:r>
      <w:r w:rsidRPr="005C2CE0">
        <w:rPr>
          <w:rFonts w:ascii="Times New Roman" w:hAnsi="Times New Roman" w:cs="Times New Roman"/>
          <w:b/>
        </w:rPr>
        <w:tab/>
      </w:r>
      <w:r w:rsidRPr="005C2CE0">
        <w:rPr>
          <w:rFonts w:ascii="Times New Roman" w:hAnsi="Times New Roman" w:cs="Times New Roman"/>
          <w:b/>
        </w:rPr>
        <w:tab/>
      </w:r>
      <w:r w:rsidRPr="005C2CE0">
        <w:rPr>
          <w:rFonts w:ascii="Times New Roman" w:hAnsi="Times New Roman" w:cs="Times New Roman"/>
          <w:b/>
        </w:rPr>
        <w:tab/>
      </w:r>
      <w:r w:rsidRPr="005C2CE0">
        <w:rPr>
          <w:rFonts w:ascii="Times New Roman" w:hAnsi="Times New Roman" w:cs="Times New Roman"/>
          <w:b/>
        </w:rPr>
        <w:tab/>
      </w:r>
    </w:p>
    <w:p w14:paraId="26F8D05B" w14:textId="5C71907B" w:rsidR="004032C9" w:rsidRDefault="00EE7FB9" w:rsidP="00E82E68">
      <w:pPr>
        <w:spacing w:line="240" w:lineRule="auto"/>
        <w:jc w:val="both"/>
        <w:rPr>
          <w:rFonts w:ascii="Times New Roman" w:hAnsi="Times New Roman" w:cs="Times New Roman"/>
          <w:b/>
        </w:rPr>
      </w:pPr>
      <w:r w:rsidRPr="005C2CE0">
        <w:rPr>
          <w:rFonts w:ascii="Times New Roman" w:hAnsi="Times New Roman" w:cs="Times New Roman"/>
          <w:b/>
        </w:rPr>
        <w:t>Podegrodzie</w:t>
      </w:r>
      <w:r w:rsidRPr="00AD7AF8">
        <w:rPr>
          <w:rFonts w:ascii="Times New Roman" w:hAnsi="Times New Roman" w:cs="Times New Roman"/>
          <w:b/>
        </w:rPr>
        <w:t xml:space="preserve"> </w:t>
      </w:r>
      <w:r w:rsidR="006705A2">
        <w:rPr>
          <w:rFonts w:ascii="Times New Roman" w:hAnsi="Times New Roman" w:cs="Times New Roman"/>
          <w:b/>
        </w:rPr>
        <w:t>11</w:t>
      </w:r>
      <w:r w:rsidR="006F5C24" w:rsidRPr="00AD7AF8">
        <w:rPr>
          <w:rFonts w:ascii="Times New Roman" w:hAnsi="Times New Roman" w:cs="Times New Roman"/>
          <w:b/>
        </w:rPr>
        <w:t>.0</w:t>
      </w:r>
      <w:r w:rsidR="006705A2">
        <w:rPr>
          <w:rFonts w:ascii="Times New Roman" w:hAnsi="Times New Roman" w:cs="Times New Roman"/>
          <w:b/>
        </w:rPr>
        <w:t>5.2020</w:t>
      </w:r>
      <w:r w:rsidRPr="00AD7AF8">
        <w:rPr>
          <w:rFonts w:ascii="Times New Roman" w:hAnsi="Times New Roman" w:cs="Times New Roman"/>
          <w:b/>
        </w:rPr>
        <w:t xml:space="preserve">r. </w:t>
      </w:r>
    </w:p>
    <w:p w14:paraId="15745EC4" w14:textId="77777777" w:rsidR="001F3BB4" w:rsidRDefault="001F3BB4" w:rsidP="00E82E68">
      <w:pPr>
        <w:spacing w:line="240" w:lineRule="auto"/>
        <w:jc w:val="both"/>
        <w:rPr>
          <w:rFonts w:ascii="Times New Roman" w:hAnsi="Times New Roman" w:cs="Times New Roman"/>
          <w:b/>
        </w:rPr>
      </w:pPr>
    </w:p>
    <w:p w14:paraId="4A2D19D1" w14:textId="77777777" w:rsidR="00E952BA" w:rsidRPr="00AD7AF8" w:rsidRDefault="00E952BA" w:rsidP="00E82E68">
      <w:pPr>
        <w:spacing w:line="240" w:lineRule="auto"/>
        <w:jc w:val="both"/>
        <w:rPr>
          <w:rFonts w:ascii="Times New Roman" w:hAnsi="Times New Roman" w:cs="Times New Roman"/>
          <w:b/>
        </w:rPr>
      </w:pPr>
      <w:r>
        <w:rPr>
          <w:rFonts w:ascii="Times New Roman" w:hAnsi="Times New Roman" w:cs="Times New Roman"/>
          <w:b/>
        </w:rPr>
        <w:t>Zarząd Banku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Rada Nadzorcza Banku :</w:t>
      </w:r>
    </w:p>
    <w:sectPr w:rsidR="00E952BA" w:rsidRPr="00AD7AF8" w:rsidSect="00B23868">
      <w:footerReference w:type="default" r:id="rId9"/>
      <w:footnotePr>
        <w:numFmt w:val="chicago"/>
      </w:footnotePr>
      <w:pgSz w:w="11906" w:h="16838"/>
      <w:pgMar w:top="1134" w:right="1134" w:bottom="993" w:left="1134" w:header="709"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37763" w14:textId="77777777" w:rsidR="00580CA6" w:rsidRDefault="00580CA6" w:rsidP="00723BF1">
      <w:pPr>
        <w:pStyle w:val="Akapitzlist"/>
        <w:spacing w:after="0" w:line="240" w:lineRule="auto"/>
      </w:pPr>
      <w:r>
        <w:separator/>
      </w:r>
    </w:p>
  </w:endnote>
  <w:endnote w:type="continuationSeparator" w:id="0">
    <w:p w14:paraId="42134CF2" w14:textId="77777777" w:rsidR="00580CA6" w:rsidRDefault="00580CA6" w:rsidP="00723BF1">
      <w:pPr>
        <w:pStyle w:val="Akapitzlist"/>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636681"/>
      <w:docPartObj>
        <w:docPartGallery w:val="Page Numbers (Bottom of Page)"/>
        <w:docPartUnique/>
      </w:docPartObj>
    </w:sdtPr>
    <w:sdtContent>
      <w:sdt>
        <w:sdtPr>
          <w:id w:val="-1705238520"/>
          <w:docPartObj>
            <w:docPartGallery w:val="Page Numbers (Top of Page)"/>
            <w:docPartUnique/>
          </w:docPartObj>
        </w:sdtPr>
        <w:sdtContent>
          <w:p w14:paraId="1C75FDD6" w14:textId="77777777" w:rsidR="00580CA6" w:rsidRDefault="00580CA6">
            <w:pPr>
              <w:pStyle w:val="Stopka"/>
            </w:pPr>
            <w:r>
              <w:t xml:space="preserve">Strona </w:t>
            </w:r>
            <w:r>
              <w:rPr>
                <w:b/>
                <w:bCs/>
                <w:sz w:val="24"/>
                <w:szCs w:val="24"/>
              </w:rPr>
              <w:fldChar w:fldCharType="begin"/>
            </w:r>
            <w:r>
              <w:rPr>
                <w:b/>
                <w:bCs/>
              </w:rPr>
              <w:instrText>PAGE</w:instrText>
            </w:r>
            <w:r>
              <w:rPr>
                <w:b/>
                <w:bCs/>
                <w:sz w:val="24"/>
                <w:szCs w:val="24"/>
              </w:rPr>
              <w:fldChar w:fldCharType="separate"/>
            </w:r>
            <w:r w:rsidR="00B40B8C">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40B8C">
              <w:rPr>
                <w:b/>
                <w:bCs/>
                <w:noProof/>
              </w:rPr>
              <w:t>24</w:t>
            </w:r>
            <w:r>
              <w:rPr>
                <w:b/>
                <w:bCs/>
                <w:sz w:val="24"/>
                <w:szCs w:val="24"/>
              </w:rPr>
              <w:fldChar w:fldCharType="end"/>
            </w:r>
          </w:p>
        </w:sdtContent>
      </w:sdt>
    </w:sdtContent>
  </w:sdt>
  <w:p w14:paraId="7597B21C" w14:textId="77777777" w:rsidR="00580CA6" w:rsidRDefault="00580C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84580" w14:textId="77777777" w:rsidR="00580CA6" w:rsidRDefault="00580CA6" w:rsidP="00723BF1">
      <w:pPr>
        <w:pStyle w:val="Akapitzlist"/>
        <w:spacing w:after="0" w:line="240" w:lineRule="auto"/>
      </w:pPr>
      <w:r>
        <w:separator/>
      </w:r>
    </w:p>
  </w:footnote>
  <w:footnote w:type="continuationSeparator" w:id="0">
    <w:p w14:paraId="7E51146E" w14:textId="77777777" w:rsidR="00580CA6" w:rsidRDefault="00580CA6" w:rsidP="00723BF1">
      <w:pPr>
        <w:pStyle w:val="Akapitzlist"/>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C2F"/>
    <w:multiLevelType w:val="hybridMultilevel"/>
    <w:tmpl w:val="CD4425AE"/>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nsid w:val="0349322F"/>
    <w:multiLevelType w:val="hybridMultilevel"/>
    <w:tmpl w:val="E172717C"/>
    <w:lvl w:ilvl="0" w:tplc="4A040418">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3976998"/>
    <w:multiLevelType w:val="hybridMultilevel"/>
    <w:tmpl w:val="69DCA7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57930B0"/>
    <w:multiLevelType w:val="hybridMultilevel"/>
    <w:tmpl w:val="3C20EE9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07142DE0"/>
    <w:multiLevelType w:val="hybridMultilevel"/>
    <w:tmpl w:val="2DE2B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159CF"/>
    <w:multiLevelType w:val="hybridMultilevel"/>
    <w:tmpl w:val="61BCC7F8"/>
    <w:lvl w:ilvl="0" w:tplc="2D0C6C5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CF96486"/>
    <w:multiLevelType w:val="hybridMultilevel"/>
    <w:tmpl w:val="4AF61A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D731EE1"/>
    <w:multiLevelType w:val="hybridMultilevel"/>
    <w:tmpl w:val="32D6A5AC"/>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3FB37FD"/>
    <w:multiLevelType w:val="hybridMultilevel"/>
    <w:tmpl w:val="3C34FBA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13FB43E9"/>
    <w:multiLevelType w:val="hybridMultilevel"/>
    <w:tmpl w:val="5A586382"/>
    <w:lvl w:ilvl="0" w:tplc="4A040418">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4681741"/>
    <w:multiLevelType w:val="hybridMultilevel"/>
    <w:tmpl w:val="D732441C"/>
    <w:lvl w:ilvl="0" w:tplc="7400BC36">
      <w:start w:val="5"/>
      <w:numFmt w:val="upperRoman"/>
      <w:lvlText w:val="%1."/>
      <w:lvlJc w:val="right"/>
      <w:pPr>
        <w:ind w:left="418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52779C"/>
    <w:multiLevelType w:val="hybridMultilevel"/>
    <w:tmpl w:val="D0EEF76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nsid w:val="1BCC10AE"/>
    <w:multiLevelType w:val="hybridMultilevel"/>
    <w:tmpl w:val="194CFB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004C5C"/>
    <w:multiLevelType w:val="hybridMultilevel"/>
    <w:tmpl w:val="5FE2B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16A2914"/>
    <w:multiLevelType w:val="hybridMultilevel"/>
    <w:tmpl w:val="6C986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AE01FF"/>
    <w:multiLevelType w:val="hybridMultilevel"/>
    <w:tmpl w:val="884076B2"/>
    <w:lvl w:ilvl="0" w:tplc="2D0C6C54">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2D107E88"/>
    <w:multiLevelType w:val="hybridMultilevel"/>
    <w:tmpl w:val="1A86DF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D967D1D"/>
    <w:multiLevelType w:val="hybridMultilevel"/>
    <w:tmpl w:val="375C38C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EEE15F6"/>
    <w:multiLevelType w:val="hybridMultilevel"/>
    <w:tmpl w:val="D4B2288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nsid w:val="34B9694B"/>
    <w:multiLevelType w:val="hybridMultilevel"/>
    <w:tmpl w:val="47F6312E"/>
    <w:lvl w:ilvl="0" w:tplc="2D0C6C54">
      <w:start w:val="1"/>
      <w:numFmt w:val="bullet"/>
      <w:lvlText w:val=""/>
      <w:lvlJc w:val="left"/>
      <w:pPr>
        <w:ind w:left="2160" w:hanging="360"/>
      </w:pPr>
      <w:rPr>
        <w:rFonts w:ascii="Symbol" w:hAnsi="Symbol"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nsid w:val="3FF0257F"/>
    <w:multiLevelType w:val="multilevel"/>
    <w:tmpl w:val="AC1C4B40"/>
    <w:lvl w:ilvl="0">
      <w:start w:val="1"/>
      <w:numFmt w:val="decimal"/>
      <w:pStyle w:val="Akapitpodstawowy"/>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pStyle w:val="Akapit-ab"/>
      <w:lvlText w:val="%3) "/>
      <w:lvlJc w:val="right"/>
      <w:pPr>
        <w:tabs>
          <w:tab w:val="num" w:pos="2160"/>
        </w:tabs>
        <w:ind w:left="2160" w:hanging="180"/>
      </w:pPr>
      <w:rPr>
        <w:rFonts w:hint="default"/>
        <w:b w:val="0"/>
      </w:rPr>
    </w:lvl>
    <w:lvl w:ilvl="3">
      <w:start w:val="1"/>
      <w:numFmt w:val="decimal"/>
      <w:pStyle w:val="Akapitii"/>
      <w:lvlText w:val="%4."/>
      <w:lvlJc w:val="left"/>
      <w:pPr>
        <w:tabs>
          <w:tab w:val="num" w:pos="2880"/>
        </w:tabs>
        <w:ind w:left="2880" w:hanging="360"/>
      </w:pPr>
      <w:rPr>
        <w:rFonts w:hint="default"/>
      </w:rPr>
    </w:lvl>
    <w:lvl w:ilvl="4">
      <w:start w:val="1"/>
      <w:numFmt w:val="lowerLetter"/>
      <w:pStyle w:val="akapit112"/>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16E61CD"/>
    <w:multiLevelType w:val="hybridMultilevel"/>
    <w:tmpl w:val="798E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6894AEB"/>
    <w:multiLevelType w:val="hybridMultilevel"/>
    <w:tmpl w:val="CAB29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54285C"/>
    <w:multiLevelType w:val="hybridMultilevel"/>
    <w:tmpl w:val="38CA12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9272D59"/>
    <w:multiLevelType w:val="hybridMultilevel"/>
    <w:tmpl w:val="C7ACB7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B6B0F90"/>
    <w:multiLevelType w:val="hybridMultilevel"/>
    <w:tmpl w:val="C2B074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D56FFA"/>
    <w:multiLevelType w:val="hybridMultilevel"/>
    <w:tmpl w:val="B3345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0937BE"/>
    <w:multiLevelType w:val="hybridMultilevel"/>
    <w:tmpl w:val="194CFB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D12EC9"/>
    <w:multiLevelType w:val="hybridMultilevel"/>
    <w:tmpl w:val="B55C2DA0"/>
    <w:lvl w:ilvl="0" w:tplc="5DCCD876">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70017"/>
    <w:multiLevelType w:val="hybridMultilevel"/>
    <w:tmpl w:val="DEACF55A"/>
    <w:lvl w:ilvl="0" w:tplc="0415000F">
      <w:start w:val="1"/>
      <w:numFmt w:val="decimal"/>
      <w:lvlText w:val="%1."/>
      <w:lvlJc w:val="left"/>
      <w:pPr>
        <w:ind w:left="4188"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46B4F77"/>
    <w:multiLevelType w:val="multilevel"/>
    <w:tmpl w:val="7ECCC59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8DC2B69"/>
    <w:multiLevelType w:val="hybridMultilevel"/>
    <w:tmpl w:val="494C6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9D32B1B"/>
    <w:multiLevelType w:val="hybridMultilevel"/>
    <w:tmpl w:val="B2EEF5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5A2336C0"/>
    <w:multiLevelType w:val="hybridMultilevel"/>
    <w:tmpl w:val="3C34FBA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5B75578D"/>
    <w:multiLevelType w:val="multilevel"/>
    <w:tmpl w:val="041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3B323D"/>
    <w:multiLevelType w:val="hybridMultilevel"/>
    <w:tmpl w:val="9F842B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52165C4"/>
    <w:multiLevelType w:val="hybridMultilevel"/>
    <w:tmpl w:val="A63A743E"/>
    <w:lvl w:ilvl="0" w:tplc="2D0C6C54">
      <w:start w:val="1"/>
      <w:numFmt w:val="bullet"/>
      <w:lvlText w:val=""/>
      <w:lvlJc w:val="left"/>
      <w:pPr>
        <w:ind w:left="2880" w:hanging="360"/>
      </w:pPr>
      <w:rPr>
        <w:rFonts w:ascii="Symbol" w:hAnsi="Symbol" w:hint="default"/>
        <w:color w:val="auto"/>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7">
    <w:nsid w:val="68096461"/>
    <w:multiLevelType w:val="hybridMultilevel"/>
    <w:tmpl w:val="4462DE68"/>
    <w:lvl w:ilvl="0" w:tplc="2D0C6C5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nsid w:val="69675277"/>
    <w:multiLevelType w:val="hybridMultilevel"/>
    <w:tmpl w:val="8788F41E"/>
    <w:lvl w:ilvl="0" w:tplc="339C6C98">
      <w:start w:val="1"/>
      <w:numFmt w:val="decimal"/>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6CDD22F1"/>
    <w:multiLevelType w:val="hybridMultilevel"/>
    <w:tmpl w:val="A92EBC08"/>
    <w:lvl w:ilvl="0" w:tplc="DDBABAD0">
      <w:start w:val="1"/>
      <w:numFmt w:val="decimal"/>
      <w:lvlText w:val="%1)"/>
      <w:lvlJc w:val="left"/>
      <w:pPr>
        <w:tabs>
          <w:tab w:val="num" w:pos="680"/>
        </w:tabs>
        <w:ind w:left="680" w:hanging="283"/>
      </w:pPr>
      <w:rPr>
        <w:b w:val="0"/>
        <w:i w:val="0"/>
      </w:rPr>
    </w:lvl>
    <w:lvl w:ilvl="1" w:tplc="F2B6DAB4">
      <w:start w:val="10"/>
      <w:numFmt w:val="decimal"/>
      <w:lvlText w:val="%2)"/>
      <w:lvlJc w:val="left"/>
      <w:pPr>
        <w:tabs>
          <w:tab w:val="num" w:pos="737"/>
        </w:tabs>
        <w:ind w:left="737" w:hanging="34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45A00EC"/>
    <w:multiLevelType w:val="hybridMultilevel"/>
    <w:tmpl w:val="3A7C1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B30F78"/>
    <w:multiLevelType w:val="hybridMultilevel"/>
    <w:tmpl w:val="2CF655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nsid w:val="76C5363F"/>
    <w:multiLevelType w:val="hybridMultilevel"/>
    <w:tmpl w:val="89249158"/>
    <w:lvl w:ilvl="0" w:tplc="4688238E">
      <w:start w:val="1"/>
      <w:numFmt w:val="decimal"/>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3">
    <w:nsid w:val="7DEA548C"/>
    <w:multiLevelType w:val="hybridMultilevel"/>
    <w:tmpl w:val="6FBCF1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5"/>
  </w:num>
  <w:num w:numId="2">
    <w:abstractNumId w:val="20"/>
  </w:num>
  <w:num w:numId="3">
    <w:abstractNumId w:val="23"/>
  </w:num>
  <w:num w:numId="4">
    <w:abstractNumId w:val="29"/>
  </w:num>
  <w:num w:numId="5">
    <w:abstractNumId w:val="2"/>
  </w:num>
  <w:num w:numId="6">
    <w:abstractNumId w:val="7"/>
  </w:num>
  <w:num w:numId="7">
    <w:abstractNumId w:val="6"/>
  </w:num>
  <w:num w:numId="8">
    <w:abstractNumId w:val="19"/>
  </w:num>
  <w:num w:numId="9">
    <w:abstractNumId w:val="5"/>
  </w:num>
  <w:num w:numId="10">
    <w:abstractNumId w:val="34"/>
  </w:num>
  <w:num w:numId="11">
    <w:abstractNumId w:val="31"/>
  </w:num>
  <w:num w:numId="12">
    <w:abstractNumId w:val="27"/>
  </w:num>
  <w:num w:numId="13">
    <w:abstractNumId w:val="3"/>
  </w:num>
  <w:num w:numId="14">
    <w:abstractNumId w:val="36"/>
  </w:num>
  <w:num w:numId="15">
    <w:abstractNumId w:val="12"/>
  </w:num>
  <w:num w:numId="16">
    <w:abstractNumId w:val="24"/>
  </w:num>
  <w:num w:numId="17">
    <w:abstractNumId w:val="15"/>
  </w:num>
  <w:num w:numId="18">
    <w:abstractNumId w:val="25"/>
  </w:num>
  <w:num w:numId="19">
    <w:abstractNumId w:val="9"/>
  </w:num>
  <w:num w:numId="20">
    <w:abstractNumId w:val="1"/>
  </w:num>
  <w:num w:numId="21">
    <w:abstractNumId w:val="10"/>
  </w:num>
  <w:num w:numId="22">
    <w:abstractNumId w:val="41"/>
  </w:num>
  <w:num w:numId="23">
    <w:abstractNumId w:val="37"/>
  </w:num>
  <w:num w:numId="24">
    <w:abstractNumId w:val="26"/>
  </w:num>
  <w:num w:numId="25">
    <w:abstractNumId w:val="22"/>
  </w:num>
  <w:num w:numId="26">
    <w:abstractNumId w:val="4"/>
  </w:num>
  <w:num w:numId="27">
    <w:abstractNumId w:val="21"/>
  </w:num>
  <w:num w:numId="28">
    <w:abstractNumId w:val="13"/>
  </w:num>
  <w:num w:numId="29">
    <w:abstractNumId w:val="30"/>
  </w:num>
  <w:num w:numId="30">
    <w:abstractNumId w:val="3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8"/>
  </w:num>
  <w:num w:numId="33">
    <w:abstractNumId w:val="43"/>
  </w:num>
  <w:num w:numId="34">
    <w:abstractNumId w:val="8"/>
  </w:num>
  <w:num w:numId="35">
    <w:abstractNumId w:val="32"/>
  </w:num>
  <w:num w:numId="36">
    <w:abstractNumId w:val="14"/>
  </w:num>
  <w:num w:numId="37">
    <w:abstractNumId w:val="42"/>
  </w:num>
  <w:num w:numId="38">
    <w:abstractNumId w:val="17"/>
  </w:num>
  <w:num w:numId="39">
    <w:abstractNumId w:val="0"/>
  </w:num>
  <w:num w:numId="40">
    <w:abstractNumId w:val="11"/>
  </w:num>
  <w:num w:numId="41">
    <w:abstractNumId w:val="33"/>
  </w:num>
  <w:num w:numId="42">
    <w:abstractNumId w:val="18"/>
  </w:num>
  <w:num w:numId="43">
    <w:abstractNumId w:val="40"/>
  </w:num>
  <w:num w:numId="44">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C9"/>
    <w:rsid w:val="00001462"/>
    <w:rsid w:val="00005493"/>
    <w:rsid w:val="00030194"/>
    <w:rsid w:val="00033AF7"/>
    <w:rsid w:val="000379F6"/>
    <w:rsid w:val="00037E95"/>
    <w:rsid w:val="00041C45"/>
    <w:rsid w:val="00042366"/>
    <w:rsid w:val="00042E9A"/>
    <w:rsid w:val="00043FCB"/>
    <w:rsid w:val="00056646"/>
    <w:rsid w:val="0008281D"/>
    <w:rsid w:val="00083F7C"/>
    <w:rsid w:val="00086023"/>
    <w:rsid w:val="00095405"/>
    <w:rsid w:val="00097434"/>
    <w:rsid w:val="000A0829"/>
    <w:rsid w:val="000A17C4"/>
    <w:rsid w:val="000A331E"/>
    <w:rsid w:val="000A47A2"/>
    <w:rsid w:val="000B78B4"/>
    <w:rsid w:val="000C1588"/>
    <w:rsid w:val="000C4F9E"/>
    <w:rsid w:val="000C5B31"/>
    <w:rsid w:val="000E36DA"/>
    <w:rsid w:val="000E54E2"/>
    <w:rsid w:val="000E7813"/>
    <w:rsid w:val="000F1A77"/>
    <w:rsid w:val="000F3F7A"/>
    <w:rsid w:val="000F58C4"/>
    <w:rsid w:val="000F71F0"/>
    <w:rsid w:val="001049DD"/>
    <w:rsid w:val="001050C7"/>
    <w:rsid w:val="001113B9"/>
    <w:rsid w:val="00112A3E"/>
    <w:rsid w:val="00115D32"/>
    <w:rsid w:val="001219CC"/>
    <w:rsid w:val="00131540"/>
    <w:rsid w:val="0013248B"/>
    <w:rsid w:val="00133D06"/>
    <w:rsid w:val="001354CF"/>
    <w:rsid w:val="00136778"/>
    <w:rsid w:val="0013789D"/>
    <w:rsid w:val="00140307"/>
    <w:rsid w:val="00141CE9"/>
    <w:rsid w:val="00142706"/>
    <w:rsid w:val="00145314"/>
    <w:rsid w:val="00152AF5"/>
    <w:rsid w:val="00153664"/>
    <w:rsid w:val="00155FD4"/>
    <w:rsid w:val="0015626D"/>
    <w:rsid w:val="001641F7"/>
    <w:rsid w:val="00165349"/>
    <w:rsid w:val="001656B9"/>
    <w:rsid w:val="0017233F"/>
    <w:rsid w:val="0017365A"/>
    <w:rsid w:val="00175A53"/>
    <w:rsid w:val="001A16FC"/>
    <w:rsid w:val="001A2AC8"/>
    <w:rsid w:val="001B34C8"/>
    <w:rsid w:val="001B3C5F"/>
    <w:rsid w:val="001B7A1A"/>
    <w:rsid w:val="001C41DD"/>
    <w:rsid w:val="001C53FB"/>
    <w:rsid w:val="001C6CDE"/>
    <w:rsid w:val="001C7F14"/>
    <w:rsid w:val="001D0238"/>
    <w:rsid w:val="001D1F8F"/>
    <w:rsid w:val="001D26C8"/>
    <w:rsid w:val="001D2F7A"/>
    <w:rsid w:val="001D5FAC"/>
    <w:rsid w:val="001E079D"/>
    <w:rsid w:val="001E381C"/>
    <w:rsid w:val="001F2EBF"/>
    <w:rsid w:val="001F3BB4"/>
    <w:rsid w:val="001F4416"/>
    <w:rsid w:val="00202B6E"/>
    <w:rsid w:val="00206F22"/>
    <w:rsid w:val="0021298E"/>
    <w:rsid w:val="00212E4A"/>
    <w:rsid w:val="0021379B"/>
    <w:rsid w:val="00214F0E"/>
    <w:rsid w:val="00216967"/>
    <w:rsid w:val="00234F8E"/>
    <w:rsid w:val="00254C80"/>
    <w:rsid w:val="00260127"/>
    <w:rsid w:val="0026072B"/>
    <w:rsid w:val="00260D30"/>
    <w:rsid w:val="00263C5D"/>
    <w:rsid w:val="00264362"/>
    <w:rsid w:val="00264574"/>
    <w:rsid w:val="002708A0"/>
    <w:rsid w:val="00277FF9"/>
    <w:rsid w:val="002809A6"/>
    <w:rsid w:val="002859A5"/>
    <w:rsid w:val="002906D1"/>
    <w:rsid w:val="002912EF"/>
    <w:rsid w:val="00294127"/>
    <w:rsid w:val="002954EF"/>
    <w:rsid w:val="002A062D"/>
    <w:rsid w:val="002A13CC"/>
    <w:rsid w:val="002A4144"/>
    <w:rsid w:val="002B5FB5"/>
    <w:rsid w:val="002C14E2"/>
    <w:rsid w:val="002D4CAB"/>
    <w:rsid w:val="002E1371"/>
    <w:rsid w:val="002E1400"/>
    <w:rsid w:val="002E71DF"/>
    <w:rsid w:val="002F1E0E"/>
    <w:rsid w:val="003039F6"/>
    <w:rsid w:val="003040AA"/>
    <w:rsid w:val="003069B8"/>
    <w:rsid w:val="00307FD7"/>
    <w:rsid w:val="00310A17"/>
    <w:rsid w:val="00313222"/>
    <w:rsid w:val="00314C29"/>
    <w:rsid w:val="00317F8D"/>
    <w:rsid w:val="00323AB1"/>
    <w:rsid w:val="0032532E"/>
    <w:rsid w:val="0032545C"/>
    <w:rsid w:val="00327CCD"/>
    <w:rsid w:val="003311CB"/>
    <w:rsid w:val="00331206"/>
    <w:rsid w:val="00333A9C"/>
    <w:rsid w:val="003342CA"/>
    <w:rsid w:val="00337060"/>
    <w:rsid w:val="003400E3"/>
    <w:rsid w:val="00344C11"/>
    <w:rsid w:val="00345310"/>
    <w:rsid w:val="00354C99"/>
    <w:rsid w:val="00355DCF"/>
    <w:rsid w:val="003600DF"/>
    <w:rsid w:val="003710BA"/>
    <w:rsid w:val="00373298"/>
    <w:rsid w:val="00374237"/>
    <w:rsid w:val="00375FB5"/>
    <w:rsid w:val="0038056E"/>
    <w:rsid w:val="003821F4"/>
    <w:rsid w:val="0038223F"/>
    <w:rsid w:val="0038743F"/>
    <w:rsid w:val="003908F0"/>
    <w:rsid w:val="00390B6D"/>
    <w:rsid w:val="003927C3"/>
    <w:rsid w:val="003A4307"/>
    <w:rsid w:val="003A499A"/>
    <w:rsid w:val="003A55D2"/>
    <w:rsid w:val="003A65C3"/>
    <w:rsid w:val="003A7488"/>
    <w:rsid w:val="003B27FB"/>
    <w:rsid w:val="003B49FD"/>
    <w:rsid w:val="003C3612"/>
    <w:rsid w:val="003C5C18"/>
    <w:rsid w:val="003C7A7A"/>
    <w:rsid w:val="003D248D"/>
    <w:rsid w:val="003D6EE1"/>
    <w:rsid w:val="003D7709"/>
    <w:rsid w:val="003E26F9"/>
    <w:rsid w:val="003E2F67"/>
    <w:rsid w:val="003E5E28"/>
    <w:rsid w:val="003E71D3"/>
    <w:rsid w:val="003F28CE"/>
    <w:rsid w:val="003F4E7D"/>
    <w:rsid w:val="003F79D1"/>
    <w:rsid w:val="00402BF2"/>
    <w:rsid w:val="004032C9"/>
    <w:rsid w:val="00405460"/>
    <w:rsid w:val="0041117C"/>
    <w:rsid w:val="004125DD"/>
    <w:rsid w:val="0041517E"/>
    <w:rsid w:val="004153EF"/>
    <w:rsid w:val="00417307"/>
    <w:rsid w:val="00421620"/>
    <w:rsid w:val="00422053"/>
    <w:rsid w:val="004270D6"/>
    <w:rsid w:val="00431CA9"/>
    <w:rsid w:val="0043341F"/>
    <w:rsid w:val="00434B4C"/>
    <w:rsid w:val="004351A3"/>
    <w:rsid w:val="004373BB"/>
    <w:rsid w:val="00441762"/>
    <w:rsid w:val="0044182F"/>
    <w:rsid w:val="0044318F"/>
    <w:rsid w:val="004448F1"/>
    <w:rsid w:val="0044627A"/>
    <w:rsid w:val="004507B9"/>
    <w:rsid w:val="004527D2"/>
    <w:rsid w:val="004539F1"/>
    <w:rsid w:val="004565B8"/>
    <w:rsid w:val="004577D2"/>
    <w:rsid w:val="0046024D"/>
    <w:rsid w:val="00461D5D"/>
    <w:rsid w:val="00465698"/>
    <w:rsid w:val="00466127"/>
    <w:rsid w:val="00471842"/>
    <w:rsid w:val="0047219F"/>
    <w:rsid w:val="0047713B"/>
    <w:rsid w:val="00482069"/>
    <w:rsid w:val="00483A8F"/>
    <w:rsid w:val="00483FF0"/>
    <w:rsid w:val="00490ED1"/>
    <w:rsid w:val="00497105"/>
    <w:rsid w:val="004B30FF"/>
    <w:rsid w:val="004B7092"/>
    <w:rsid w:val="004C2BA6"/>
    <w:rsid w:val="004C325B"/>
    <w:rsid w:val="004D0FBA"/>
    <w:rsid w:val="004E46FD"/>
    <w:rsid w:val="004F4A68"/>
    <w:rsid w:val="004F6726"/>
    <w:rsid w:val="00501418"/>
    <w:rsid w:val="00512C2F"/>
    <w:rsid w:val="00524DC0"/>
    <w:rsid w:val="005254A1"/>
    <w:rsid w:val="00530163"/>
    <w:rsid w:val="005307D1"/>
    <w:rsid w:val="00530B10"/>
    <w:rsid w:val="005336CA"/>
    <w:rsid w:val="0053558E"/>
    <w:rsid w:val="0054213B"/>
    <w:rsid w:val="00546741"/>
    <w:rsid w:val="00546F21"/>
    <w:rsid w:val="00560AA8"/>
    <w:rsid w:val="0056258A"/>
    <w:rsid w:val="00576B26"/>
    <w:rsid w:val="00576FD6"/>
    <w:rsid w:val="005770D3"/>
    <w:rsid w:val="00580CA6"/>
    <w:rsid w:val="00580FBC"/>
    <w:rsid w:val="0058423E"/>
    <w:rsid w:val="00584DEC"/>
    <w:rsid w:val="00593139"/>
    <w:rsid w:val="005972C0"/>
    <w:rsid w:val="0059796F"/>
    <w:rsid w:val="005A11BB"/>
    <w:rsid w:val="005A6F07"/>
    <w:rsid w:val="005B0537"/>
    <w:rsid w:val="005B5386"/>
    <w:rsid w:val="005C2CE0"/>
    <w:rsid w:val="005D195B"/>
    <w:rsid w:val="005D4B8B"/>
    <w:rsid w:val="005E0F7B"/>
    <w:rsid w:val="005E1CA6"/>
    <w:rsid w:val="005E675B"/>
    <w:rsid w:val="005E7617"/>
    <w:rsid w:val="005F09AD"/>
    <w:rsid w:val="005F14A1"/>
    <w:rsid w:val="0060447F"/>
    <w:rsid w:val="006052D1"/>
    <w:rsid w:val="00607AC5"/>
    <w:rsid w:val="00610104"/>
    <w:rsid w:val="006106D8"/>
    <w:rsid w:val="006117CF"/>
    <w:rsid w:val="0061571F"/>
    <w:rsid w:val="00615E62"/>
    <w:rsid w:val="00620BD9"/>
    <w:rsid w:val="00634F04"/>
    <w:rsid w:val="00636148"/>
    <w:rsid w:val="006479A0"/>
    <w:rsid w:val="00652B15"/>
    <w:rsid w:val="006537AD"/>
    <w:rsid w:val="00653B2A"/>
    <w:rsid w:val="00665DA1"/>
    <w:rsid w:val="006705A2"/>
    <w:rsid w:val="00672518"/>
    <w:rsid w:val="006727C0"/>
    <w:rsid w:val="00676CEF"/>
    <w:rsid w:val="00676F61"/>
    <w:rsid w:val="00681930"/>
    <w:rsid w:val="006833A3"/>
    <w:rsid w:val="00692E9E"/>
    <w:rsid w:val="00695287"/>
    <w:rsid w:val="00696356"/>
    <w:rsid w:val="0069643C"/>
    <w:rsid w:val="006A613A"/>
    <w:rsid w:val="006B3185"/>
    <w:rsid w:val="006B7BC9"/>
    <w:rsid w:val="006C0043"/>
    <w:rsid w:val="006C2E4D"/>
    <w:rsid w:val="006C3673"/>
    <w:rsid w:val="006C4397"/>
    <w:rsid w:val="006C7365"/>
    <w:rsid w:val="006D0E46"/>
    <w:rsid w:val="006D50E6"/>
    <w:rsid w:val="006E048F"/>
    <w:rsid w:val="006E0F4F"/>
    <w:rsid w:val="006E7107"/>
    <w:rsid w:val="006F0A40"/>
    <w:rsid w:val="006F5C24"/>
    <w:rsid w:val="006F7FD4"/>
    <w:rsid w:val="0070188E"/>
    <w:rsid w:val="00705747"/>
    <w:rsid w:val="007067B3"/>
    <w:rsid w:val="0070705D"/>
    <w:rsid w:val="00715BEA"/>
    <w:rsid w:val="007223E6"/>
    <w:rsid w:val="00722FC3"/>
    <w:rsid w:val="00723BF1"/>
    <w:rsid w:val="00725D5D"/>
    <w:rsid w:val="00730ABC"/>
    <w:rsid w:val="0074488B"/>
    <w:rsid w:val="0074498F"/>
    <w:rsid w:val="0074565D"/>
    <w:rsid w:val="00750ACC"/>
    <w:rsid w:val="007570C4"/>
    <w:rsid w:val="007638AC"/>
    <w:rsid w:val="00765F28"/>
    <w:rsid w:val="0077003A"/>
    <w:rsid w:val="00774A7F"/>
    <w:rsid w:val="007774F2"/>
    <w:rsid w:val="0078099F"/>
    <w:rsid w:val="007902AA"/>
    <w:rsid w:val="00792260"/>
    <w:rsid w:val="00796FF0"/>
    <w:rsid w:val="007A05FE"/>
    <w:rsid w:val="007A2B7C"/>
    <w:rsid w:val="007A46FA"/>
    <w:rsid w:val="007A705D"/>
    <w:rsid w:val="007C351F"/>
    <w:rsid w:val="007C3DCD"/>
    <w:rsid w:val="007C5298"/>
    <w:rsid w:val="007C5E0E"/>
    <w:rsid w:val="007D5673"/>
    <w:rsid w:val="007D6EFA"/>
    <w:rsid w:val="007E37A4"/>
    <w:rsid w:val="007E442C"/>
    <w:rsid w:val="007E4F62"/>
    <w:rsid w:val="007E518C"/>
    <w:rsid w:val="007E5ED4"/>
    <w:rsid w:val="007E73BC"/>
    <w:rsid w:val="007E7F9C"/>
    <w:rsid w:val="007F1510"/>
    <w:rsid w:val="007F15B9"/>
    <w:rsid w:val="007F1F98"/>
    <w:rsid w:val="007F2252"/>
    <w:rsid w:val="007F380E"/>
    <w:rsid w:val="007F3EFC"/>
    <w:rsid w:val="007F5DD7"/>
    <w:rsid w:val="00803062"/>
    <w:rsid w:val="0080633C"/>
    <w:rsid w:val="00810948"/>
    <w:rsid w:val="0081136E"/>
    <w:rsid w:val="00811598"/>
    <w:rsid w:val="00812974"/>
    <w:rsid w:val="00817BB8"/>
    <w:rsid w:val="008234D1"/>
    <w:rsid w:val="008343B0"/>
    <w:rsid w:val="00841BF6"/>
    <w:rsid w:val="00842B82"/>
    <w:rsid w:val="008469C9"/>
    <w:rsid w:val="00850F50"/>
    <w:rsid w:val="00855BDD"/>
    <w:rsid w:val="0086574B"/>
    <w:rsid w:val="00875A28"/>
    <w:rsid w:val="008848F1"/>
    <w:rsid w:val="0088642B"/>
    <w:rsid w:val="008A18EC"/>
    <w:rsid w:val="008A56A3"/>
    <w:rsid w:val="008A65C2"/>
    <w:rsid w:val="008C1A69"/>
    <w:rsid w:val="008C3BF8"/>
    <w:rsid w:val="008D2764"/>
    <w:rsid w:val="008D5FED"/>
    <w:rsid w:val="008E2B16"/>
    <w:rsid w:val="008E420F"/>
    <w:rsid w:val="008E6897"/>
    <w:rsid w:val="008F63CA"/>
    <w:rsid w:val="008F69F0"/>
    <w:rsid w:val="008F6A68"/>
    <w:rsid w:val="008F7547"/>
    <w:rsid w:val="00903894"/>
    <w:rsid w:val="00904DB0"/>
    <w:rsid w:val="00907285"/>
    <w:rsid w:val="0090756C"/>
    <w:rsid w:val="00912E7A"/>
    <w:rsid w:val="0091601A"/>
    <w:rsid w:val="009246CF"/>
    <w:rsid w:val="00925A4B"/>
    <w:rsid w:val="0092731D"/>
    <w:rsid w:val="0093102B"/>
    <w:rsid w:val="009314DB"/>
    <w:rsid w:val="00933A6E"/>
    <w:rsid w:val="009348A0"/>
    <w:rsid w:val="009353FD"/>
    <w:rsid w:val="009365BD"/>
    <w:rsid w:val="00941BF4"/>
    <w:rsid w:val="00943671"/>
    <w:rsid w:val="009511EC"/>
    <w:rsid w:val="00962AF2"/>
    <w:rsid w:val="009666D9"/>
    <w:rsid w:val="0096787C"/>
    <w:rsid w:val="009700B1"/>
    <w:rsid w:val="00975264"/>
    <w:rsid w:val="00984E9A"/>
    <w:rsid w:val="009871B7"/>
    <w:rsid w:val="009959BE"/>
    <w:rsid w:val="00997102"/>
    <w:rsid w:val="00997BE4"/>
    <w:rsid w:val="009A5C6B"/>
    <w:rsid w:val="009A6274"/>
    <w:rsid w:val="009A7727"/>
    <w:rsid w:val="009B292D"/>
    <w:rsid w:val="009B6591"/>
    <w:rsid w:val="009C102F"/>
    <w:rsid w:val="009C2977"/>
    <w:rsid w:val="009C4FEC"/>
    <w:rsid w:val="009D684B"/>
    <w:rsid w:val="009E4ED6"/>
    <w:rsid w:val="009F0832"/>
    <w:rsid w:val="009F155C"/>
    <w:rsid w:val="009F3D26"/>
    <w:rsid w:val="009F4148"/>
    <w:rsid w:val="00A11B1C"/>
    <w:rsid w:val="00A1400B"/>
    <w:rsid w:val="00A1711E"/>
    <w:rsid w:val="00A23175"/>
    <w:rsid w:val="00A24AF1"/>
    <w:rsid w:val="00A24F8C"/>
    <w:rsid w:val="00A41F0F"/>
    <w:rsid w:val="00A50E0A"/>
    <w:rsid w:val="00A53687"/>
    <w:rsid w:val="00A54BFA"/>
    <w:rsid w:val="00A56512"/>
    <w:rsid w:val="00A57155"/>
    <w:rsid w:val="00A63157"/>
    <w:rsid w:val="00A63F9D"/>
    <w:rsid w:val="00A64A03"/>
    <w:rsid w:val="00A664C9"/>
    <w:rsid w:val="00A66E0F"/>
    <w:rsid w:val="00A71122"/>
    <w:rsid w:val="00A7465C"/>
    <w:rsid w:val="00A75BAA"/>
    <w:rsid w:val="00A76C62"/>
    <w:rsid w:val="00A830C4"/>
    <w:rsid w:val="00A83572"/>
    <w:rsid w:val="00A8525C"/>
    <w:rsid w:val="00A86868"/>
    <w:rsid w:val="00A924BB"/>
    <w:rsid w:val="00A93533"/>
    <w:rsid w:val="00A97994"/>
    <w:rsid w:val="00AA06EA"/>
    <w:rsid w:val="00AA12B3"/>
    <w:rsid w:val="00AA6717"/>
    <w:rsid w:val="00AA767B"/>
    <w:rsid w:val="00AA788D"/>
    <w:rsid w:val="00AA7988"/>
    <w:rsid w:val="00AB1F65"/>
    <w:rsid w:val="00AB455A"/>
    <w:rsid w:val="00AC5C79"/>
    <w:rsid w:val="00AC7DAD"/>
    <w:rsid w:val="00AD1E9B"/>
    <w:rsid w:val="00AD7AF8"/>
    <w:rsid w:val="00AE0D18"/>
    <w:rsid w:val="00AE4292"/>
    <w:rsid w:val="00AE50B7"/>
    <w:rsid w:val="00AE553B"/>
    <w:rsid w:val="00AF322B"/>
    <w:rsid w:val="00AF3C87"/>
    <w:rsid w:val="00AF6513"/>
    <w:rsid w:val="00AF77F0"/>
    <w:rsid w:val="00B016D1"/>
    <w:rsid w:val="00B02A89"/>
    <w:rsid w:val="00B03290"/>
    <w:rsid w:val="00B11D0A"/>
    <w:rsid w:val="00B16EAA"/>
    <w:rsid w:val="00B21A4A"/>
    <w:rsid w:val="00B23868"/>
    <w:rsid w:val="00B23E1D"/>
    <w:rsid w:val="00B340F6"/>
    <w:rsid w:val="00B36426"/>
    <w:rsid w:val="00B36E0D"/>
    <w:rsid w:val="00B37147"/>
    <w:rsid w:val="00B40B8C"/>
    <w:rsid w:val="00B43325"/>
    <w:rsid w:val="00B45003"/>
    <w:rsid w:val="00B459AA"/>
    <w:rsid w:val="00B51FF0"/>
    <w:rsid w:val="00B545EF"/>
    <w:rsid w:val="00B5706F"/>
    <w:rsid w:val="00B57381"/>
    <w:rsid w:val="00B60B63"/>
    <w:rsid w:val="00B60C02"/>
    <w:rsid w:val="00B662C6"/>
    <w:rsid w:val="00B72056"/>
    <w:rsid w:val="00B72873"/>
    <w:rsid w:val="00B7382B"/>
    <w:rsid w:val="00B73C29"/>
    <w:rsid w:val="00B87D46"/>
    <w:rsid w:val="00B92EA9"/>
    <w:rsid w:val="00B97BBE"/>
    <w:rsid w:val="00BA2483"/>
    <w:rsid w:val="00BA6EBC"/>
    <w:rsid w:val="00BA6F2F"/>
    <w:rsid w:val="00BA7AB4"/>
    <w:rsid w:val="00BB16A1"/>
    <w:rsid w:val="00BB2AF0"/>
    <w:rsid w:val="00BB4D35"/>
    <w:rsid w:val="00BC35D2"/>
    <w:rsid w:val="00BC37A3"/>
    <w:rsid w:val="00BD18EF"/>
    <w:rsid w:val="00BD68BF"/>
    <w:rsid w:val="00BD6CC0"/>
    <w:rsid w:val="00BE19F4"/>
    <w:rsid w:val="00BE35F7"/>
    <w:rsid w:val="00BF15B5"/>
    <w:rsid w:val="00C00AD6"/>
    <w:rsid w:val="00C00F94"/>
    <w:rsid w:val="00C07330"/>
    <w:rsid w:val="00C1637A"/>
    <w:rsid w:val="00C16E8A"/>
    <w:rsid w:val="00C17547"/>
    <w:rsid w:val="00C2159D"/>
    <w:rsid w:val="00C21B7C"/>
    <w:rsid w:val="00C22575"/>
    <w:rsid w:val="00C24760"/>
    <w:rsid w:val="00C32327"/>
    <w:rsid w:val="00C327D5"/>
    <w:rsid w:val="00C32C1A"/>
    <w:rsid w:val="00C33380"/>
    <w:rsid w:val="00C34036"/>
    <w:rsid w:val="00C345D7"/>
    <w:rsid w:val="00C369A6"/>
    <w:rsid w:val="00C372F1"/>
    <w:rsid w:val="00C37C27"/>
    <w:rsid w:val="00C41149"/>
    <w:rsid w:val="00C4364F"/>
    <w:rsid w:val="00C43E57"/>
    <w:rsid w:val="00C44A85"/>
    <w:rsid w:val="00C46446"/>
    <w:rsid w:val="00C51A8E"/>
    <w:rsid w:val="00C55818"/>
    <w:rsid w:val="00C573C5"/>
    <w:rsid w:val="00C579B2"/>
    <w:rsid w:val="00C66715"/>
    <w:rsid w:val="00C70690"/>
    <w:rsid w:val="00C72E48"/>
    <w:rsid w:val="00C731A4"/>
    <w:rsid w:val="00C761CD"/>
    <w:rsid w:val="00C76BDA"/>
    <w:rsid w:val="00C779BE"/>
    <w:rsid w:val="00C91293"/>
    <w:rsid w:val="00C931DB"/>
    <w:rsid w:val="00CA12DB"/>
    <w:rsid w:val="00CA1B56"/>
    <w:rsid w:val="00CA4434"/>
    <w:rsid w:val="00CB5A5F"/>
    <w:rsid w:val="00CB5C59"/>
    <w:rsid w:val="00CC135E"/>
    <w:rsid w:val="00CC52C4"/>
    <w:rsid w:val="00CC5562"/>
    <w:rsid w:val="00CC7BAF"/>
    <w:rsid w:val="00CD13EE"/>
    <w:rsid w:val="00CD542E"/>
    <w:rsid w:val="00CD7739"/>
    <w:rsid w:val="00CE23B3"/>
    <w:rsid w:val="00D046E8"/>
    <w:rsid w:val="00D07DA3"/>
    <w:rsid w:val="00D14C7C"/>
    <w:rsid w:val="00D21FD7"/>
    <w:rsid w:val="00D236AA"/>
    <w:rsid w:val="00D32FD9"/>
    <w:rsid w:val="00D402AF"/>
    <w:rsid w:val="00D46979"/>
    <w:rsid w:val="00D4791C"/>
    <w:rsid w:val="00D508B3"/>
    <w:rsid w:val="00D57BCC"/>
    <w:rsid w:val="00D728A3"/>
    <w:rsid w:val="00D74965"/>
    <w:rsid w:val="00D8007D"/>
    <w:rsid w:val="00D84895"/>
    <w:rsid w:val="00D84A02"/>
    <w:rsid w:val="00D85119"/>
    <w:rsid w:val="00D92313"/>
    <w:rsid w:val="00DA2565"/>
    <w:rsid w:val="00DA4C48"/>
    <w:rsid w:val="00DB09E3"/>
    <w:rsid w:val="00DB6B45"/>
    <w:rsid w:val="00DC5C27"/>
    <w:rsid w:val="00DF083C"/>
    <w:rsid w:val="00DF5D7D"/>
    <w:rsid w:val="00E10E7B"/>
    <w:rsid w:val="00E2312E"/>
    <w:rsid w:val="00E27C92"/>
    <w:rsid w:val="00E33241"/>
    <w:rsid w:val="00E348E4"/>
    <w:rsid w:val="00E36B71"/>
    <w:rsid w:val="00E42521"/>
    <w:rsid w:val="00E46C33"/>
    <w:rsid w:val="00E47068"/>
    <w:rsid w:val="00E53763"/>
    <w:rsid w:val="00E5422B"/>
    <w:rsid w:val="00E56581"/>
    <w:rsid w:val="00E57F84"/>
    <w:rsid w:val="00E6027E"/>
    <w:rsid w:val="00E65F03"/>
    <w:rsid w:val="00E65F1B"/>
    <w:rsid w:val="00E6749F"/>
    <w:rsid w:val="00E72373"/>
    <w:rsid w:val="00E74944"/>
    <w:rsid w:val="00E77211"/>
    <w:rsid w:val="00E807C4"/>
    <w:rsid w:val="00E8107E"/>
    <w:rsid w:val="00E82E68"/>
    <w:rsid w:val="00E84010"/>
    <w:rsid w:val="00E90473"/>
    <w:rsid w:val="00E90E8E"/>
    <w:rsid w:val="00E952BA"/>
    <w:rsid w:val="00E9618C"/>
    <w:rsid w:val="00E968C3"/>
    <w:rsid w:val="00E97DA2"/>
    <w:rsid w:val="00EA02E1"/>
    <w:rsid w:val="00EA4670"/>
    <w:rsid w:val="00EB169D"/>
    <w:rsid w:val="00EB262E"/>
    <w:rsid w:val="00EB77F1"/>
    <w:rsid w:val="00EC6244"/>
    <w:rsid w:val="00EE05C1"/>
    <w:rsid w:val="00EE7FB9"/>
    <w:rsid w:val="00EF4320"/>
    <w:rsid w:val="00EF465C"/>
    <w:rsid w:val="00F0389B"/>
    <w:rsid w:val="00F104B9"/>
    <w:rsid w:val="00F12242"/>
    <w:rsid w:val="00F20957"/>
    <w:rsid w:val="00F209EA"/>
    <w:rsid w:val="00F24A97"/>
    <w:rsid w:val="00F252FA"/>
    <w:rsid w:val="00F257B4"/>
    <w:rsid w:val="00F270E2"/>
    <w:rsid w:val="00F31983"/>
    <w:rsid w:val="00F35889"/>
    <w:rsid w:val="00F36249"/>
    <w:rsid w:val="00F4029C"/>
    <w:rsid w:val="00F4663A"/>
    <w:rsid w:val="00F46819"/>
    <w:rsid w:val="00F51DDE"/>
    <w:rsid w:val="00F52424"/>
    <w:rsid w:val="00F525EC"/>
    <w:rsid w:val="00F702D5"/>
    <w:rsid w:val="00F72E92"/>
    <w:rsid w:val="00F751F6"/>
    <w:rsid w:val="00F772ED"/>
    <w:rsid w:val="00F86CCB"/>
    <w:rsid w:val="00F9509E"/>
    <w:rsid w:val="00F95864"/>
    <w:rsid w:val="00F958E3"/>
    <w:rsid w:val="00FA0EAD"/>
    <w:rsid w:val="00FA1436"/>
    <w:rsid w:val="00FA26B8"/>
    <w:rsid w:val="00FA4349"/>
    <w:rsid w:val="00FA6BDF"/>
    <w:rsid w:val="00FA7551"/>
    <w:rsid w:val="00FB6CE2"/>
    <w:rsid w:val="00FB7297"/>
    <w:rsid w:val="00FC06DD"/>
    <w:rsid w:val="00FD08BE"/>
    <w:rsid w:val="00FD6016"/>
    <w:rsid w:val="00FD7FFB"/>
    <w:rsid w:val="00FE2034"/>
    <w:rsid w:val="00FE2E0B"/>
    <w:rsid w:val="00FE7102"/>
    <w:rsid w:val="00FF61B7"/>
    <w:rsid w:val="00FF6365"/>
    <w:rsid w:val="00FF7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AA564"/>
  <w15:docId w15:val="{982E1745-D700-4B90-BF1D-D92AA69F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44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318F"/>
    <w:pPr>
      <w:ind w:left="720"/>
      <w:contextualSpacing/>
    </w:pPr>
  </w:style>
  <w:style w:type="table" w:styleId="Tabela-Siatka">
    <w:name w:val="Table Grid"/>
    <w:basedOn w:val="Standardowy"/>
    <w:uiPriority w:val="59"/>
    <w:rsid w:val="004431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723BF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23BF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723BF1"/>
    <w:rPr>
      <w:vertAlign w:val="superscript"/>
    </w:rPr>
  </w:style>
  <w:style w:type="paragraph" w:customStyle="1" w:styleId="Akapitpodstawowy">
    <w:name w:val="Akapit podstawowy"/>
    <w:qFormat/>
    <w:rsid w:val="0059796F"/>
    <w:pPr>
      <w:numPr>
        <w:numId w:val="2"/>
      </w:numPr>
      <w:spacing w:after="120" w:line="240" w:lineRule="auto"/>
      <w:jc w:val="both"/>
    </w:pPr>
    <w:rPr>
      <w:rFonts w:ascii="Times New Roman" w:eastAsia="Times New Roman" w:hAnsi="Times New Roman" w:cs="Times New Roman"/>
      <w:sz w:val="24"/>
      <w:szCs w:val="24"/>
      <w:lang w:eastAsia="pl-PL"/>
    </w:rPr>
  </w:style>
  <w:style w:type="paragraph" w:customStyle="1" w:styleId="Akapit-ab">
    <w:name w:val="Akapit - ab"/>
    <w:basedOn w:val="Normalny"/>
    <w:link w:val="Akapit-abZnak"/>
    <w:qFormat/>
    <w:rsid w:val="0059796F"/>
    <w:pPr>
      <w:numPr>
        <w:ilvl w:val="2"/>
        <w:numId w:val="2"/>
      </w:numPr>
      <w:spacing w:after="0" w:line="240" w:lineRule="auto"/>
      <w:jc w:val="both"/>
    </w:pPr>
    <w:rPr>
      <w:rFonts w:ascii="Times New Roman" w:eastAsia="Times New Roman" w:hAnsi="Times New Roman" w:cs="Times New Roman"/>
      <w:sz w:val="24"/>
      <w:szCs w:val="24"/>
      <w:lang w:eastAsia="pl-PL"/>
    </w:rPr>
  </w:style>
  <w:style w:type="character" w:customStyle="1" w:styleId="Akapit-abZnak">
    <w:name w:val="Akapit - ab Znak"/>
    <w:basedOn w:val="Domylnaczcionkaakapitu"/>
    <w:link w:val="Akapit-ab"/>
    <w:rsid w:val="0059796F"/>
    <w:rPr>
      <w:rFonts w:ascii="Times New Roman" w:eastAsia="Times New Roman" w:hAnsi="Times New Roman" w:cs="Times New Roman"/>
      <w:sz w:val="24"/>
      <w:szCs w:val="24"/>
      <w:lang w:eastAsia="pl-PL"/>
    </w:rPr>
  </w:style>
  <w:style w:type="paragraph" w:customStyle="1" w:styleId="Akapitii">
    <w:name w:val="Akapit ii"/>
    <w:basedOn w:val="Akapit-ab"/>
    <w:link w:val="AkapitiiZnak"/>
    <w:qFormat/>
    <w:rsid w:val="0059796F"/>
    <w:pPr>
      <w:numPr>
        <w:ilvl w:val="3"/>
      </w:numPr>
    </w:pPr>
  </w:style>
  <w:style w:type="paragraph" w:customStyle="1" w:styleId="akapit112">
    <w:name w:val="akapit 112"/>
    <w:basedOn w:val="Akapitii"/>
    <w:link w:val="akapit112Znak"/>
    <w:qFormat/>
    <w:rsid w:val="0059796F"/>
    <w:pPr>
      <w:numPr>
        <w:ilvl w:val="4"/>
      </w:numPr>
    </w:pPr>
  </w:style>
  <w:style w:type="character" w:customStyle="1" w:styleId="AkapitiiZnak">
    <w:name w:val="Akapit ii Znak"/>
    <w:basedOn w:val="Akapit-abZnak"/>
    <w:link w:val="Akapitii"/>
    <w:rsid w:val="005979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59796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9796F"/>
  </w:style>
  <w:style w:type="character" w:customStyle="1" w:styleId="akapit112Znak">
    <w:name w:val="akapit 112 Znak"/>
    <w:basedOn w:val="AkapitiiZnak"/>
    <w:link w:val="akapit112"/>
    <w:rsid w:val="0059796F"/>
    <w:rPr>
      <w:rFonts w:ascii="Times New Roman" w:eastAsia="Times New Roman" w:hAnsi="Times New Roman" w:cs="Times New Roman"/>
      <w:sz w:val="24"/>
      <w:szCs w:val="24"/>
      <w:lang w:eastAsia="pl-PL"/>
    </w:rPr>
  </w:style>
  <w:style w:type="paragraph" w:customStyle="1" w:styleId="ble">
    <w:name w:val="ble"/>
    <w:basedOn w:val="Akapitzlist"/>
    <w:qFormat/>
    <w:rsid w:val="009C4FEC"/>
    <w:pPr>
      <w:spacing w:after="0"/>
      <w:ind w:left="0"/>
      <w:jc w:val="both"/>
    </w:pPr>
    <w:rPr>
      <w:rFonts w:ascii="Times New Roman" w:hAnsi="Times New Roman" w:cs="Times New Roman"/>
      <w:sz w:val="24"/>
    </w:rPr>
  </w:style>
  <w:style w:type="paragraph" w:customStyle="1" w:styleId="western">
    <w:name w:val="western"/>
    <w:basedOn w:val="Normalny"/>
    <w:rsid w:val="00E5422B"/>
    <w:pPr>
      <w:spacing w:before="100" w:beforeAutospacing="1" w:after="119"/>
    </w:pPr>
    <w:rPr>
      <w:rFonts w:ascii="Calibri" w:eastAsia="Times New Roman" w:hAnsi="Calibri" w:cs="Calibri"/>
      <w:color w:val="000000"/>
      <w:lang w:eastAsia="pl-PL"/>
    </w:rPr>
  </w:style>
  <w:style w:type="paragraph" w:styleId="NormalnyWeb">
    <w:name w:val="Normal (Web)"/>
    <w:basedOn w:val="Normalny"/>
    <w:uiPriority w:val="99"/>
    <w:semiHidden/>
    <w:unhideWhenUsed/>
    <w:rsid w:val="00E5422B"/>
    <w:pPr>
      <w:spacing w:before="100" w:beforeAutospacing="1" w:after="119"/>
    </w:pPr>
    <w:rPr>
      <w:rFonts w:ascii="Times New Roman" w:eastAsia="Times New Roman" w:hAnsi="Times New Roman" w:cs="Times New Roman"/>
      <w:color w:val="000000"/>
      <w:sz w:val="24"/>
      <w:szCs w:val="24"/>
      <w:lang w:eastAsia="pl-PL"/>
    </w:rPr>
  </w:style>
  <w:style w:type="numbering" w:customStyle="1" w:styleId="Styl1">
    <w:name w:val="Styl1"/>
    <w:uiPriority w:val="99"/>
    <w:rsid w:val="006727C0"/>
    <w:pPr>
      <w:numPr>
        <w:numId w:val="10"/>
      </w:numPr>
    </w:pPr>
  </w:style>
  <w:style w:type="paragraph" w:styleId="Legenda">
    <w:name w:val="caption"/>
    <w:basedOn w:val="Normalny"/>
    <w:next w:val="Normalny"/>
    <w:uiPriority w:val="35"/>
    <w:unhideWhenUsed/>
    <w:qFormat/>
    <w:rsid w:val="00DB09E3"/>
    <w:pPr>
      <w:spacing w:line="240" w:lineRule="auto"/>
    </w:pPr>
    <w:rPr>
      <w:b/>
      <w:bCs/>
      <w:color w:val="4F81BD" w:themeColor="accent1"/>
      <w:sz w:val="18"/>
      <w:szCs w:val="18"/>
    </w:rPr>
  </w:style>
  <w:style w:type="character" w:styleId="Tekstzastpczy">
    <w:name w:val="Placeholder Text"/>
    <w:basedOn w:val="Domylnaczcionkaakapitu"/>
    <w:uiPriority w:val="99"/>
    <w:semiHidden/>
    <w:rsid w:val="00355DCF"/>
    <w:rPr>
      <w:color w:val="808080"/>
    </w:rPr>
  </w:style>
  <w:style w:type="paragraph" w:styleId="Tekstdymka">
    <w:name w:val="Balloon Text"/>
    <w:basedOn w:val="Normalny"/>
    <w:link w:val="TekstdymkaZnak"/>
    <w:uiPriority w:val="99"/>
    <w:semiHidden/>
    <w:unhideWhenUsed/>
    <w:rsid w:val="00355D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5DCF"/>
    <w:rPr>
      <w:rFonts w:ascii="Tahoma" w:hAnsi="Tahoma" w:cs="Tahoma"/>
      <w:sz w:val="16"/>
      <w:szCs w:val="16"/>
    </w:rPr>
  </w:style>
  <w:style w:type="character" w:styleId="Hipercze">
    <w:name w:val="Hyperlink"/>
    <w:basedOn w:val="Domylnaczcionkaakapitu"/>
    <w:uiPriority w:val="99"/>
    <w:unhideWhenUsed/>
    <w:rsid w:val="00AA6717"/>
    <w:rPr>
      <w:color w:val="0000FF"/>
      <w:u w:val="single"/>
    </w:rPr>
  </w:style>
  <w:style w:type="character" w:styleId="UyteHipercze">
    <w:name w:val="FollowedHyperlink"/>
    <w:basedOn w:val="Domylnaczcionkaakapitu"/>
    <w:uiPriority w:val="99"/>
    <w:semiHidden/>
    <w:unhideWhenUsed/>
    <w:rsid w:val="00AA6717"/>
    <w:rPr>
      <w:color w:val="800080"/>
      <w:u w:val="single"/>
    </w:rPr>
  </w:style>
  <w:style w:type="paragraph" w:customStyle="1" w:styleId="xl65">
    <w:name w:val="xl65"/>
    <w:basedOn w:val="Normalny"/>
    <w:rsid w:val="00AA6717"/>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66">
    <w:name w:val="xl66"/>
    <w:basedOn w:val="Normalny"/>
    <w:rsid w:val="00AA6717"/>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67">
    <w:name w:val="xl67"/>
    <w:basedOn w:val="Normalny"/>
    <w:rsid w:val="00AA6717"/>
    <w:pP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68">
    <w:name w:val="xl68"/>
    <w:basedOn w:val="Normalny"/>
    <w:rsid w:val="00AA671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69">
    <w:name w:val="xl69"/>
    <w:basedOn w:val="Normalny"/>
    <w:rsid w:val="00AA671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70">
    <w:name w:val="xl70"/>
    <w:basedOn w:val="Normalny"/>
    <w:rsid w:val="00AA671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71">
    <w:name w:val="xl71"/>
    <w:basedOn w:val="Normalny"/>
    <w:rsid w:val="00AA6717"/>
    <w:pPr>
      <w:pBdr>
        <w:top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72">
    <w:name w:val="xl72"/>
    <w:basedOn w:val="Normalny"/>
    <w:rsid w:val="00AA6717"/>
    <w:pPr>
      <w:pBdr>
        <w:left w:val="single" w:sz="8"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73">
    <w:name w:val="xl73"/>
    <w:basedOn w:val="Normalny"/>
    <w:rsid w:val="00AA6717"/>
    <w:pPr>
      <w:pBdr>
        <w:left w:val="single" w:sz="8" w:space="0" w:color="000000"/>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74">
    <w:name w:val="xl74"/>
    <w:basedOn w:val="Normalny"/>
    <w:rsid w:val="00AA6717"/>
    <w:pP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75">
    <w:name w:val="xl75"/>
    <w:basedOn w:val="Normalny"/>
    <w:rsid w:val="00AA6717"/>
    <w:pP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76">
    <w:name w:val="xl76"/>
    <w:basedOn w:val="Normalny"/>
    <w:rsid w:val="00AA6717"/>
    <w:pP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l-PL"/>
    </w:rPr>
  </w:style>
  <w:style w:type="paragraph" w:customStyle="1" w:styleId="xl77">
    <w:name w:val="xl77"/>
    <w:basedOn w:val="Normalny"/>
    <w:rsid w:val="00AA6717"/>
    <w:pP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78">
    <w:name w:val="xl78"/>
    <w:basedOn w:val="Normalny"/>
    <w:rsid w:val="00AA6717"/>
    <w:pP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79">
    <w:name w:val="xl79"/>
    <w:basedOn w:val="Normalny"/>
    <w:rsid w:val="00AA6717"/>
    <w:pPr>
      <w:shd w:val="clear" w:color="FFFFCC" w:fill="FFFFFF"/>
      <w:spacing w:before="100" w:beforeAutospacing="1" w:after="100" w:afterAutospacing="1" w:line="240" w:lineRule="auto"/>
      <w:jc w:val="right"/>
    </w:pPr>
    <w:rPr>
      <w:rFonts w:ascii="Times New Roman" w:eastAsia="Times New Roman" w:hAnsi="Times New Roman" w:cs="Times New Roman"/>
      <w:sz w:val="14"/>
      <w:szCs w:val="14"/>
      <w:lang w:eastAsia="pl-PL"/>
    </w:rPr>
  </w:style>
  <w:style w:type="paragraph" w:customStyle="1" w:styleId="xl80">
    <w:name w:val="xl80"/>
    <w:basedOn w:val="Normalny"/>
    <w:rsid w:val="00AA6717"/>
    <w:pPr>
      <w:pBdr>
        <w:top w:val="single" w:sz="4" w:space="0" w:color="000000"/>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81">
    <w:name w:val="xl81"/>
    <w:basedOn w:val="Normalny"/>
    <w:rsid w:val="00AA6717"/>
    <w:pPr>
      <w:pBdr>
        <w:top w:val="single" w:sz="4" w:space="0" w:color="000000"/>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82">
    <w:name w:val="xl82"/>
    <w:basedOn w:val="Normalny"/>
    <w:rsid w:val="00AA6717"/>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3">
    <w:name w:val="xl83"/>
    <w:basedOn w:val="Normalny"/>
    <w:rsid w:val="00AA6717"/>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4">
    <w:name w:val="xl84"/>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5">
    <w:name w:val="xl85"/>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6">
    <w:name w:val="xl86"/>
    <w:basedOn w:val="Normalny"/>
    <w:rsid w:val="00AA67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7">
    <w:name w:val="xl87"/>
    <w:basedOn w:val="Normalny"/>
    <w:rsid w:val="00AA67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8">
    <w:name w:val="xl88"/>
    <w:basedOn w:val="Normalny"/>
    <w:rsid w:val="00AA6717"/>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9">
    <w:name w:val="xl89"/>
    <w:basedOn w:val="Normalny"/>
    <w:rsid w:val="00AA6717"/>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0">
    <w:name w:val="xl90"/>
    <w:basedOn w:val="Normalny"/>
    <w:rsid w:val="00AA6717"/>
    <w:pPr>
      <w:pBdr>
        <w:top w:val="single" w:sz="4" w:space="0" w:color="000000"/>
        <w:left w:val="single" w:sz="4" w:space="0" w:color="000000"/>
        <w:bottom w:val="single" w:sz="8" w:space="0" w:color="auto"/>
        <w:right w:val="single" w:sz="8" w:space="0" w:color="000000"/>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91">
    <w:name w:val="xl91"/>
    <w:basedOn w:val="Normalny"/>
    <w:rsid w:val="00AA6717"/>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92">
    <w:name w:val="xl92"/>
    <w:basedOn w:val="Normalny"/>
    <w:rsid w:val="00AA6717"/>
    <w:pPr>
      <w:pBdr>
        <w:top w:val="single" w:sz="8" w:space="0" w:color="auto"/>
        <w:left w:val="single" w:sz="8" w:space="0" w:color="auto"/>
        <w:bottom w:val="single" w:sz="4"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93">
    <w:name w:val="xl93"/>
    <w:basedOn w:val="Normalny"/>
    <w:rsid w:val="00AA6717"/>
    <w:pPr>
      <w:pBdr>
        <w:top w:val="single" w:sz="8" w:space="0" w:color="auto"/>
        <w:bottom w:val="single" w:sz="4"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94">
    <w:name w:val="xl94"/>
    <w:basedOn w:val="Normalny"/>
    <w:rsid w:val="00AA6717"/>
    <w:pPr>
      <w:pBdr>
        <w:top w:val="single" w:sz="8" w:space="0" w:color="auto"/>
        <w:right w:val="single" w:sz="8"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95">
    <w:name w:val="xl95"/>
    <w:basedOn w:val="Normalny"/>
    <w:rsid w:val="00AA6717"/>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6">
    <w:name w:val="xl96"/>
    <w:basedOn w:val="Normalny"/>
    <w:rsid w:val="00AA6717"/>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7">
    <w:name w:val="xl97"/>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8">
    <w:name w:val="xl98"/>
    <w:basedOn w:val="Normalny"/>
    <w:rsid w:val="00AA6717"/>
    <w:pPr>
      <w:pBdr>
        <w:top w:val="single" w:sz="4" w:space="0" w:color="auto"/>
        <w:left w:val="single" w:sz="8" w:space="0" w:color="auto"/>
        <w:bottom w:val="single" w:sz="4" w:space="0" w:color="auto"/>
        <w:right w:val="single" w:sz="4" w:space="0" w:color="auto"/>
      </w:pBdr>
      <w:shd w:val="clear" w:color="CCCC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9">
    <w:name w:val="xl99"/>
    <w:basedOn w:val="Normalny"/>
    <w:rsid w:val="00AA6717"/>
    <w:pPr>
      <w:pBdr>
        <w:top w:val="single" w:sz="4" w:space="0" w:color="auto"/>
        <w:left w:val="single" w:sz="4" w:space="0" w:color="auto"/>
        <w:bottom w:val="single" w:sz="4" w:space="0" w:color="auto"/>
        <w:right w:val="single" w:sz="4" w:space="0" w:color="auto"/>
      </w:pBdr>
      <w:shd w:val="clear" w:color="CCCC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0">
    <w:name w:val="xl100"/>
    <w:basedOn w:val="Normalny"/>
    <w:rsid w:val="00AA6717"/>
    <w:pPr>
      <w:pBdr>
        <w:top w:val="single" w:sz="4" w:space="0" w:color="auto"/>
        <w:left w:val="single" w:sz="4" w:space="0" w:color="auto"/>
        <w:bottom w:val="single" w:sz="4" w:space="0" w:color="auto"/>
        <w:right w:val="single" w:sz="4" w:space="0" w:color="auto"/>
      </w:pBdr>
      <w:shd w:val="clear" w:color="CCCC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1">
    <w:name w:val="xl101"/>
    <w:basedOn w:val="Normalny"/>
    <w:rsid w:val="00AA6717"/>
    <w:pPr>
      <w:pBdr>
        <w:top w:val="single" w:sz="4" w:space="0" w:color="auto"/>
        <w:left w:val="single" w:sz="8"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2">
    <w:name w:val="xl102"/>
    <w:basedOn w:val="Normalny"/>
    <w:rsid w:val="00AA6717"/>
    <w:pPr>
      <w:pBdr>
        <w:top w:val="single" w:sz="4" w:space="0" w:color="auto"/>
        <w:left w:val="single" w:sz="4"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3">
    <w:name w:val="xl103"/>
    <w:basedOn w:val="Normalny"/>
    <w:rsid w:val="00AA6717"/>
    <w:pPr>
      <w:pBdr>
        <w:top w:val="single" w:sz="4" w:space="0" w:color="auto"/>
        <w:left w:val="single" w:sz="4"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color w:val="FF0000"/>
      <w:sz w:val="14"/>
      <w:szCs w:val="14"/>
      <w:lang w:eastAsia="pl-PL"/>
    </w:rPr>
  </w:style>
  <w:style w:type="paragraph" w:customStyle="1" w:styleId="xl104">
    <w:name w:val="xl104"/>
    <w:basedOn w:val="Normalny"/>
    <w:rsid w:val="00AA6717"/>
    <w:pPr>
      <w:pBdr>
        <w:top w:val="single" w:sz="4" w:space="0" w:color="auto"/>
        <w:left w:val="single" w:sz="4"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5">
    <w:name w:val="xl105"/>
    <w:basedOn w:val="Normalny"/>
    <w:rsid w:val="00AA6717"/>
    <w:pPr>
      <w:pBdr>
        <w:top w:val="single" w:sz="4" w:space="0" w:color="auto"/>
        <w:left w:val="single" w:sz="4"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6">
    <w:name w:val="xl106"/>
    <w:basedOn w:val="Normalny"/>
    <w:rsid w:val="00AA6717"/>
    <w:pPr>
      <w:pBdr>
        <w:top w:val="single" w:sz="4" w:space="0" w:color="auto"/>
        <w:left w:val="single" w:sz="4" w:space="0" w:color="auto"/>
        <w:bottom w:val="single" w:sz="4" w:space="0" w:color="auto"/>
        <w:right w:val="single" w:sz="4" w:space="0" w:color="auto"/>
      </w:pBdr>
      <w:shd w:val="clear" w:color="CCCC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7">
    <w:name w:val="xl107"/>
    <w:basedOn w:val="Normalny"/>
    <w:rsid w:val="00AA6717"/>
    <w:pPr>
      <w:pBdr>
        <w:top w:val="single" w:sz="4" w:space="0" w:color="auto"/>
        <w:left w:val="single" w:sz="8"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8">
    <w:name w:val="xl108"/>
    <w:basedOn w:val="Normalny"/>
    <w:rsid w:val="00AA6717"/>
    <w:pPr>
      <w:pBdr>
        <w:top w:val="single" w:sz="4" w:space="0" w:color="auto"/>
        <w:left w:val="single" w:sz="4"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9">
    <w:name w:val="xl109"/>
    <w:basedOn w:val="Normalny"/>
    <w:rsid w:val="00AA6717"/>
    <w:pPr>
      <w:pBdr>
        <w:top w:val="single" w:sz="4" w:space="0" w:color="auto"/>
        <w:left w:val="single" w:sz="4"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color w:val="FF0000"/>
      <w:sz w:val="14"/>
      <w:szCs w:val="14"/>
      <w:lang w:eastAsia="pl-PL"/>
    </w:rPr>
  </w:style>
  <w:style w:type="paragraph" w:customStyle="1" w:styleId="xl110">
    <w:name w:val="xl110"/>
    <w:basedOn w:val="Normalny"/>
    <w:rsid w:val="00AA6717"/>
    <w:pPr>
      <w:pBdr>
        <w:top w:val="single" w:sz="4" w:space="0" w:color="auto"/>
        <w:left w:val="single" w:sz="4"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1">
    <w:name w:val="xl111"/>
    <w:basedOn w:val="Normalny"/>
    <w:rsid w:val="00AA6717"/>
    <w:pPr>
      <w:pBdr>
        <w:top w:val="single" w:sz="4" w:space="0" w:color="auto"/>
        <w:left w:val="single" w:sz="4"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2">
    <w:name w:val="xl112"/>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13">
    <w:name w:val="xl113"/>
    <w:basedOn w:val="Normalny"/>
    <w:rsid w:val="00AA671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4">
    <w:name w:val="xl114"/>
    <w:basedOn w:val="Normalny"/>
    <w:rsid w:val="00AA67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5">
    <w:name w:val="xl115"/>
    <w:basedOn w:val="Normalny"/>
    <w:rsid w:val="00AA6717"/>
    <w:pPr>
      <w:pBdr>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6">
    <w:name w:val="xl116"/>
    <w:basedOn w:val="Normalny"/>
    <w:rsid w:val="00AA671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17">
    <w:name w:val="xl117"/>
    <w:basedOn w:val="Normalny"/>
    <w:rsid w:val="00AA67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18">
    <w:name w:val="xl118"/>
    <w:basedOn w:val="Normalny"/>
    <w:rsid w:val="00AA6717"/>
    <w:pPr>
      <w:pBdr>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9">
    <w:name w:val="xl119"/>
    <w:basedOn w:val="Normalny"/>
    <w:rsid w:val="00AA6717"/>
    <w:pPr>
      <w:pBdr>
        <w:bottom w:val="single" w:sz="8"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0">
    <w:name w:val="xl120"/>
    <w:basedOn w:val="Normalny"/>
    <w:rsid w:val="00AA6717"/>
    <w:pPr>
      <w:pBdr>
        <w:left w:val="single" w:sz="4" w:space="0" w:color="000000"/>
        <w:bottom w:val="single" w:sz="8" w:space="0" w:color="auto"/>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1">
    <w:name w:val="xl121"/>
    <w:basedOn w:val="Normalny"/>
    <w:rsid w:val="00AA6717"/>
    <w:pPr>
      <w:pBdr>
        <w:left w:val="single" w:sz="8"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2">
    <w:name w:val="xl122"/>
    <w:basedOn w:val="Normalny"/>
    <w:rsid w:val="00AA6717"/>
    <w:pPr>
      <w:pBdr>
        <w:left w:val="single" w:sz="8"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3">
    <w:name w:val="xl123"/>
    <w:basedOn w:val="Normalny"/>
    <w:rsid w:val="00AA671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4">
    <w:name w:val="xl124"/>
    <w:basedOn w:val="Normalny"/>
    <w:rsid w:val="00AA671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5">
    <w:name w:val="xl125"/>
    <w:basedOn w:val="Normalny"/>
    <w:rsid w:val="00AA6717"/>
    <w:pPr>
      <w:pBdr>
        <w:left w:val="single" w:sz="8"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6">
    <w:name w:val="xl126"/>
    <w:basedOn w:val="Normalny"/>
    <w:rsid w:val="00AA671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7">
    <w:name w:val="xl127"/>
    <w:basedOn w:val="Normalny"/>
    <w:rsid w:val="00AA67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28">
    <w:name w:val="xl128"/>
    <w:basedOn w:val="Normalny"/>
    <w:rsid w:val="00AA6717"/>
    <w:pPr>
      <w:pBdr>
        <w:top w:val="single" w:sz="8" w:space="0" w:color="000000"/>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29">
    <w:name w:val="xl129"/>
    <w:basedOn w:val="Normalny"/>
    <w:rsid w:val="00AA6717"/>
    <w:pPr>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30">
    <w:name w:val="xl130"/>
    <w:basedOn w:val="Normalny"/>
    <w:rsid w:val="00AA6717"/>
    <w:pPr>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31">
    <w:name w:val="xl131"/>
    <w:basedOn w:val="Normalny"/>
    <w:rsid w:val="00AA6717"/>
    <w:pP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132">
    <w:name w:val="xl132"/>
    <w:basedOn w:val="Normalny"/>
    <w:rsid w:val="00AA6717"/>
    <w:pPr>
      <w:spacing w:before="100" w:beforeAutospacing="1" w:after="100" w:afterAutospacing="1" w:line="240" w:lineRule="auto"/>
    </w:pPr>
    <w:rPr>
      <w:rFonts w:ascii="Arial CE" w:eastAsia="Times New Roman" w:hAnsi="Arial CE" w:cs="Arial CE"/>
      <w:b/>
      <w:bCs/>
      <w:color w:val="00B0F0"/>
      <w:sz w:val="14"/>
      <w:szCs w:val="14"/>
      <w:lang w:eastAsia="pl-PL"/>
    </w:rPr>
  </w:style>
  <w:style w:type="paragraph" w:customStyle="1" w:styleId="xl133">
    <w:name w:val="xl133"/>
    <w:basedOn w:val="Normalny"/>
    <w:rsid w:val="00AA6717"/>
    <w:pPr>
      <w:spacing w:before="100" w:beforeAutospacing="1" w:after="100" w:afterAutospacing="1" w:line="240" w:lineRule="auto"/>
      <w:textAlignment w:val="center"/>
    </w:pPr>
    <w:rPr>
      <w:rFonts w:ascii="Arial CE" w:eastAsia="Times New Roman" w:hAnsi="Arial CE" w:cs="Arial CE"/>
      <w:sz w:val="12"/>
      <w:szCs w:val="12"/>
      <w:lang w:eastAsia="pl-PL"/>
    </w:rPr>
  </w:style>
  <w:style w:type="paragraph" w:customStyle="1" w:styleId="xl134">
    <w:name w:val="xl134"/>
    <w:basedOn w:val="Normalny"/>
    <w:rsid w:val="00AA6717"/>
    <w:pPr>
      <w:pBdr>
        <w:bottom w:val="single" w:sz="8" w:space="0" w:color="000000"/>
      </w:pBdr>
      <w:spacing w:before="100" w:beforeAutospacing="1" w:after="100" w:afterAutospacing="1" w:line="240" w:lineRule="auto"/>
    </w:pPr>
    <w:rPr>
      <w:rFonts w:ascii="Arial CE" w:eastAsia="Times New Roman" w:hAnsi="Arial CE" w:cs="Arial CE"/>
      <w:sz w:val="14"/>
      <w:szCs w:val="14"/>
      <w:lang w:eastAsia="pl-PL"/>
    </w:rPr>
  </w:style>
  <w:style w:type="paragraph" w:customStyle="1" w:styleId="xl135">
    <w:name w:val="xl135"/>
    <w:basedOn w:val="Normalny"/>
    <w:rsid w:val="00AA6717"/>
    <w:pPr>
      <w:pBdr>
        <w:bottom w:val="single" w:sz="8" w:space="0" w:color="000000"/>
      </w:pBdr>
      <w:spacing w:before="100" w:beforeAutospacing="1" w:after="100" w:afterAutospacing="1" w:line="240" w:lineRule="auto"/>
    </w:pPr>
    <w:rPr>
      <w:rFonts w:ascii="Arial CE" w:eastAsia="Times New Roman" w:hAnsi="Arial CE" w:cs="Arial CE"/>
      <w:sz w:val="14"/>
      <w:szCs w:val="14"/>
      <w:lang w:eastAsia="pl-PL"/>
    </w:rPr>
  </w:style>
  <w:style w:type="paragraph" w:customStyle="1" w:styleId="xl136">
    <w:name w:val="xl136"/>
    <w:basedOn w:val="Normalny"/>
    <w:rsid w:val="00AA6717"/>
    <w:pPr>
      <w:spacing w:before="100" w:beforeAutospacing="1" w:after="100" w:afterAutospacing="1" w:line="240" w:lineRule="auto"/>
    </w:pPr>
    <w:rPr>
      <w:rFonts w:ascii="Arial CE" w:eastAsia="Times New Roman" w:hAnsi="Arial CE" w:cs="Arial CE"/>
      <w:sz w:val="14"/>
      <w:szCs w:val="14"/>
      <w:lang w:eastAsia="pl-PL"/>
    </w:rPr>
  </w:style>
  <w:style w:type="paragraph" w:customStyle="1" w:styleId="xl137">
    <w:name w:val="xl137"/>
    <w:basedOn w:val="Normalny"/>
    <w:rsid w:val="00AA6717"/>
    <w:pPr>
      <w:spacing w:before="100" w:beforeAutospacing="1" w:after="100" w:afterAutospacing="1" w:line="240" w:lineRule="auto"/>
      <w:jc w:val="center"/>
    </w:pPr>
    <w:rPr>
      <w:rFonts w:ascii="Arial CE" w:eastAsia="Times New Roman" w:hAnsi="Arial CE" w:cs="Arial CE"/>
      <w:sz w:val="14"/>
      <w:szCs w:val="14"/>
      <w:lang w:eastAsia="pl-PL"/>
    </w:rPr>
  </w:style>
  <w:style w:type="paragraph" w:customStyle="1" w:styleId="xl138">
    <w:name w:val="xl138"/>
    <w:basedOn w:val="Normalny"/>
    <w:rsid w:val="00AA6717"/>
    <w:pPr>
      <w:spacing w:before="100" w:beforeAutospacing="1" w:after="100" w:afterAutospacing="1" w:line="240" w:lineRule="auto"/>
    </w:pPr>
    <w:rPr>
      <w:rFonts w:ascii="Arial CE" w:eastAsia="Times New Roman" w:hAnsi="Arial CE" w:cs="Arial CE"/>
      <w:sz w:val="12"/>
      <w:szCs w:val="12"/>
      <w:lang w:eastAsia="pl-PL"/>
    </w:rPr>
  </w:style>
  <w:style w:type="paragraph" w:customStyle="1" w:styleId="xl139">
    <w:name w:val="xl139"/>
    <w:basedOn w:val="Normalny"/>
    <w:rsid w:val="00AA6717"/>
    <w:pPr>
      <w:spacing w:before="100" w:beforeAutospacing="1" w:after="100" w:afterAutospacing="1" w:line="240" w:lineRule="auto"/>
    </w:pPr>
    <w:rPr>
      <w:rFonts w:ascii="Arial CE" w:eastAsia="Times New Roman" w:hAnsi="Arial CE" w:cs="Arial CE"/>
      <w:sz w:val="14"/>
      <w:szCs w:val="14"/>
      <w:lang w:eastAsia="pl-PL"/>
    </w:rPr>
  </w:style>
  <w:style w:type="paragraph" w:customStyle="1" w:styleId="xl140">
    <w:name w:val="xl140"/>
    <w:basedOn w:val="Normalny"/>
    <w:rsid w:val="00AA6717"/>
    <w:pPr>
      <w:spacing w:before="100" w:beforeAutospacing="1" w:after="100" w:afterAutospacing="1" w:line="240" w:lineRule="auto"/>
    </w:pPr>
    <w:rPr>
      <w:rFonts w:ascii="Arial CE" w:eastAsia="Times New Roman" w:hAnsi="Arial CE" w:cs="Arial CE"/>
      <w:color w:val="00B0F0"/>
      <w:sz w:val="14"/>
      <w:szCs w:val="14"/>
      <w:lang w:eastAsia="pl-PL"/>
    </w:rPr>
  </w:style>
  <w:style w:type="paragraph" w:customStyle="1" w:styleId="xl141">
    <w:name w:val="xl141"/>
    <w:basedOn w:val="Normalny"/>
    <w:rsid w:val="00AA6717"/>
    <w:pPr>
      <w:spacing w:before="100" w:beforeAutospacing="1" w:after="100" w:afterAutospacing="1" w:line="240" w:lineRule="auto"/>
    </w:pPr>
    <w:rPr>
      <w:rFonts w:ascii="Arial CE" w:eastAsia="Times New Roman" w:hAnsi="Arial CE" w:cs="Arial CE"/>
      <w:color w:val="00B0F0"/>
      <w:sz w:val="14"/>
      <w:szCs w:val="14"/>
      <w:lang w:eastAsia="pl-PL"/>
    </w:rPr>
  </w:style>
  <w:style w:type="paragraph" w:customStyle="1" w:styleId="xl142">
    <w:name w:val="xl142"/>
    <w:basedOn w:val="Normalny"/>
    <w:rsid w:val="00AA6717"/>
    <w:pPr>
      <w:pBdr>
        <w:top w:val="single" w:sz="4" w:space="0" w:color="auto"/>
      </w:pBdr>
      <w:shd w:val="clear" w:color="CCFFFF" w:fill="D8D8D8"/>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43">
    <w:name w:val="xl143"/>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pl-PL"/>
    </w:rPr>
  </w:style>
  <w:style w:type="paragraph" w:customStyle="1" w:styleId="xl144">
    <w:name w:val="xl144"/>
    <w:basedOn w:val="Normalny"/>
    <w:rsid w:val="00AA6717"/>
    <w:pPr>
      <w:shd w:val="clear" w:color="CCFFFF" w:fill="D8D8D8"/>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45">
    <w:name w:val="xl145"/>
    <w:basedOn w:val="Normalny"/>
    <w:rsid w:val="00AA6717"/>
    <w:pPr>
      <w:pBdr>
        <w:bottom w:val="single" w:sz="8" w:space="0" w:color="auto"/>
      </w:pBdr>
      <w:shd w:val="clear" w:color="CCFFFF" w:fill="D8D8D8"/>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46">
    <w:name w:val="xl146"/>
    <w:basedOn w:val="Normalny"/>
    <w:rsid w:val="00AA67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47">
    <w:name w:val="xl147"/>
    <w:basedOn w:val="Normalny"/>
    <w:rsid w:val="00AA67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48">
    <w:name w:val="xl148"/>
    <w:basedOn w:val="Normalny"/>
    <w:rsid w:val="00AA6717"/>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49">
    <w:name w:val="xl149"/>
    <w:basedOn w:val="Normalny"/>
    <w:rsid w:val="00AA6717"/>
    <w:pPr>
      <w:pBdr>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50">
    <w:name w:val="xl150"/>
    <w:basedOn w:val="Normalny"/>
    <w:rsid w:val="00AA6717"/>
    <w:pPr>
      <w:pBdr>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51">
    <w:name w:val="xl151"/>
    <w:basedOn w:val="Normalny"/>
    <w:rsid w:val="00AA6717"/>
    <w:pPr>
      <w:spacing w:before="100" w:beforeAutospacing="1" w:after="100" w:afterAutospacing="1" w:line="240" w:lineRule="auto"/>
      <w:textAlignment w:val="center"/>
    </w:pPr>
    <w:rPr>
      <w:rFonts w:ascii="Arial CE" w:eastAsia="Times New Roman" w:hAnsi="Arial CE" w:cs="Arial CE"/>
      <w:b/>
      <w:bCs/>
      <w:color w:val="00B0F0"/>
      <w:sz w:val="14"/>
      <w:szCs w:val="14"/>
      <w:lang w:eastAsia="pl-PL"/>
    </w:rPr>
  </w:style>
  <w:style w:type="paragraph" w:customStyle="1" w:styleId="xl152">
    <w:name w:val="xl152"/>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4"/>
      <w:szCs w:val="14"/>
      <w:lang w:eastAsia="pl-PL"/>
    </w:rPr>
  </w:style>
  <w:style w:type="paragraph" w:customStyle="1" w:styleId="xl153">
    <w:name w:val="xl153"/>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pl-PL"/>
    </w:rPr>
  </w:style>
  <w:style w:type="paragraph" w:customStyle="1" w:styleId="xl154">
    <w:name w:val="xl154"/>
    <w:basedOn w:val="Normalny"/>
    <w:rsid w:val="00AA6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55">
    <w:name w:val="xl155"/>
    <w:basedOn w:val="Normalny"/>
    <w:rsid w:val="00AA67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56">
    <w:name w:val="xl156"/>
    <w:basedOn w:val="Normalny"/>
    <w:rsid w:val="00AA67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57">
    <w:name w:val="xl157"/>
    <w:basedOn w:val="Normalny"/>
    <w:rsid w:val="00AA6717"/>
    <w:pPr>
      <w:spacing w:before="100" w:beforeAutospacing="1" w:after="100" w:afterAutospacing="1" w:line="240" w:lineRule="auto"/>
      <w:textAlignment w:val="center"/>
    </w:pPr>
    <w:rPr>
      <w:rFonts w:ascii="Arial CE" w:eastAsia="Times New Roman" w:hAnsi="Arial CE" w:cs="Arial CE"/>
      <w:sz w:val="14"/>
      <w:szCs w:val="14"/>
      <w:lang w:eastAsia="pl-PL"/>
    </w:rPr>
  </w:style>
  <w:style w:type="paragraph" w:customStyle="1" w:styleId="xl158">
    <w:name w:val="xl158"/>
    <w:basedOn w:val="Normalny"/>
    <w:rsid w:val="00AA6717"/>
    <w:pPr>
      <w:spacing w:before="100" w:beforeAutospacing="1" w:after="100" w:afterAutospacing="1" w:line="240" w:lineRule="auto"/>
      <w:jc w:val="center"/>
      <w:textAlignment w:val="center"/>
    </w:pPr>
    <w:rPr>
      <w:rFonts w:ascii="Arial CE" w:eastAsia="Times New Roman" w:hAnsi="Arial CE" w:cs="Arial CE"/>
      <w:sz w:val="14"/>
      <w:szCs w:val="14"/>
      <w:lang w:eastAsia="pl-PL"/>
    </w:rPr>
  </w:style>
  <w:style w:type="paragraph" w:customStyle="1" w:styleId="xl159">
    <w:name w:val="xl159"/>
    <w:basedOn w:val="Normalny"/>
    <w:rsid w:val="00AA6717"/>
    <w:pPr>
      <w:spacing w:before="100" w:beforeAutospacing="1" w:after="100" w:afterAutospacing="1" w:line="240" w:lineRule="auto"/>
      <w:textAlignment w:val="center"/>
    </w:pPr>
    <w:rPr>
      <w:rFonts w:ascii="Arial CE" w:eastAsia="Times New Roman" w:hAnsi="Arial CE" w:cs="Arial CE"/>
      <w:sz w:val="14"/>
      <w:szCs w:val="14"/>
      <w:lang w:eastAsia="pl-PL"/>
    </w:rPr>
  </w:style>
  <w:style w:type="paragraph" w:customStyle="1" w:styleId="xl160">
    <w:name w:val="xl160"/>
    <w:basedOn w:val="Normalny"/>
    <w:rsid w:val="00AA6717"/>
    <w:pPr>
      <w:pBdr>
        <w:left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CE" w:eastAsia="Times New Roman" w:hAnsi="Arial CE" w:cs="Arial CE"/>
      <w:b/>
      <w:bCs/>
      <w:sz w:val="14"/>
      <w:szCs w:val="14"/>
      <w:lang w:eastAsia="pl-PL"/>
    </w:rPr>
  </w:style>
  <w:style w:type="paragraph" w:customStyle="1" w:styleId="xl161">
    <w:name w:val="xl161"/>
    <w:basedOn w:val="Normalny"/>
    <w:rsid w:val="00AA6717"/>
    <w:pPr>
      <w:pBdr>
        <w:left w:val="single" w:sz="8" w:space="0" w:color="auto"/>
        <w:bottom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CE" w:eastAsia="Times New Roman" w:hAnsi="Arial CE" w:cs="Arial CE"/>
      <w:b/>
      <w:bCs/>
      <w:sz w:val="14"/>
      <w:szCs w:val="14"/>
      <w:lang w:eastAsia="pl-PL"/>
    </w:rPr>
  </w:style>
  <w:style w:type="paragraph" w:customStyle="1" w:styleId="xl162">
    <w:name w:val="xl162"/>
    <w:basedOn w:val="Normalny"/>
    <w:rsid w:val="00AA6717"/>
    <w:pPr>
      <w:pBdr>
        <w:top w:val="single" w:sz="8" w:space="0" w:color="000000"/>
        <w:left w:val="single" w:sz="4"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63">
    <w:name w:val="xl163"/>
    <w:basedOn w:val="Normalny"/>
    <w:rsid w:val="00AA6717"/>
    <w:pPr>
      <w:pBdr>
        <w:top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64">
    <w:name w:val="xl164"/>
    <w:basedOn w:val="Normalny"/>
    <w:rsid w:val="00AA6717"/>
    <w:pPr>
      <w:spacing w:before="100" w:beforeAutospacing="1" w:after="100" w:afterAutospacing="1" w:line="240" w:lineRule="auto"/>
      <w:jc w:val="center"/>
    </w:pPr>
    <w:rPr>
      <w:rFonts w:ascii="Arial CE" w:eastAsia="Times New Roman" w:hAnsi="Arial CE" w:cs="Arial CE"/>
      <w:sz w:val="14"/>
      <w:szCs w:val="14"/>
      <w:lang w:eastAsia="pl-PL"/>
    </w:rPr>
  </w:style>
  <w:style w:type="paragraph" w:customStyle="1" w:styleId="xl165">
    <w:name w:val="xl165"/>
    <w:basedOn w:val="Normalny"/>
    <w:rsid w:val="00AA6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66">
    <w:name w:val="xl166"/>
    <w:basedOn w:val="Normalny"/>
    <w:rsid w:val="00AA67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67">
    <w:name w:val="xl167"/>
    <w:basedOn w:val="Normalny"/>
    <w:rsid w:val="00AA6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68">
    <w:name w:val="xl168"/>
    <w:basedOn w:val="Normalny"/>
    <w:rsid w:val="00AA67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69">
    <w:name w:val="xl169"/>
    <w:basedOn w:val="Normalny"/>
    <w:rsid w:val="00AA6717"/>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70">
    <w:name w:val="xl170"/>
    <w:basedOn w:val="Normalny"/>
    <w:rsid w:val="00AA6717"/>
    <w:pPr>
      <w:pBdr>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71">
    <w:name w:val="xl171"/>
    <w:basedOn w:val="Normalny"/>
    <w:rsid w:val="00AA6717"/>
    <w:pPr>
      <w:pBdr>
        <w:top w:val="single" w:sz="8" w:space="0" w:color="auto"/>
        <w:lef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2">
    <w:name w:val="xl172"/>
    <w:basedOn w:val="Normalny"/>
    <w:rsid w:val="00AA6717"/>
    <w:pPr>
      <w:pBdr>
        <w:top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3">
    <w:name w:val="xl173"/>
    <w:basedOn w:val="Normalny"/>
    <w:rsid w:val="00AA6717"/>
    <w:pPr>
      <w:pBdr>
        <w:top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4">
    <w:name w:val="xl174"/>
    <w:basedOn w:val="Normalny"/>
    <w:rsid w:val="00AA6717"/>
    <w:pPr>
      <w:pBdr>
        <w:lef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5">
    <w:name w:val="xl175"/>
    <w:basedOn w:val="Normalny"/>
    <w:rsid w:val="00AA6717"/>
    <w:pP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6">
    <w:name w:val="xl176"/>
    <w:basedOn w:val="Normalny"/>
    <w:rsid w:val="00AA6717"/>
    <w:pPr>
      <w:pBdr>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7">
    <w:name w:val="xl177"/>
    <w:basedOn w:val="Normalny"/>
    <w:rsid w:val="00AA6717"/>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8">
    <w:name w:val="xl178"/>
    <w:basedOn w:val="Normalny"/>
    <w:rsid w:val="00AA6717"/>
    <w:pPr>
      <w:pBdr>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9">
    <w:name w:val="xl179"/>
    <w:basedOn w:val="Normalny"/>
    <w:rsid w:val="00AA6717"/>
    <w:pPr>
      <w:pBdr>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80">
    <w:name w:val="xl180"/>
    <w:basedOn w:val="Normalny"/>
    <w:rsid w:val="00AA6717"/>
    <w:pPr>
      <w:pBdr>
        <w:top w:val="single" w:sz="8" w:space="0" w:color="auto"/>
        <w:left w:val="single" w:sz="8" w:space="0" w:color="auto"/>
        <w:bottom w:val="single" w:sz="4" w:space="0" w:color="auto"/>
      </w:pBdr>
      <w:shd w:val="clear" w:color="CCFFFF" w:fill="CCFFFF"/>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81">
    <w:name w:val="xl181"/>
    <w:basedOn w:val="Normalny"/>
    <w:rsid w:val="00AA6717"/>
    <w:pPr>
      <w:pBdr>
        <w:top w:val="single" w:sz="8" w:space="0" w:color="auto"/>
        <w:bottom w:val="single" w:sz="4" w:space="0" w:color="auto"/>
      </w:pBdr>
      <w:shd w:val="clear" w:color="CCFFFF" w:fill="CCFFFF"/>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82">
    <w:name w:val="xl182"/>
    <w:basedOn w:val="Normalny"/>
    <w:rsid w:val="00AA6717"/>
    <w:pPr>
      <w:pBdr>
        <w:top w:val="single" w:sz="8" w:space="0" w:color="auto"/>
        <w:bottom w:val="single" w:sz="4" w:space="0" w:color="auto"/>
        <w:right w:val="single" w:sz="8" w:space="0" w:color="auto"/>
      </w:pBdr>
      <w:shd w:val="clear" w:color="CCFFFF" w:fill="CCFFFF"/>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83">
    <w:name w:val="xl183"/>
    <w:basedOn w:val="Normalny"/>
    <w:rsid w:val="00AA67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184">
    <w:name w:val="xl184"/>
    <w:basedOn w:val="Normalny"/>
    <w:rsid w:val="00AA67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185">
    <w:name w:val="xl185"/>
    <w:basedOn w:val="Normalny"/>
    <w:rsid w:val="00AA6717"/>
    <w:pPr>
      <w:pBdr>
        <w:top w:val="single" w:sz="4" w:space="0" w:color="auto"/>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86">
    <w:name w:val="xl186"/>
    <w:basedOn w:val="Normalny"/>
    <w:rsid w:val="00AA6717"/>
    <w:pPr>
      <w:pBdr>
        <w:top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87">
    <w:name w:val="xl187"/>
    <w:basedOn w:val="Normalny"/>
    <w:rsid w:val="00AA6717"/>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88">
    <w:name w:val="xl188"/>
    <w:basedOn w:val="Normalny"/>
    <w:rsid w:val="00AA6717"/>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89">
    <w:name w:val="xl189"/>
    <w:basedOn w:val="Normalny"/>
    <w:rsid w:val="00AA6717"/>
    <w:pPr>
      <w:pBdr>
        <w:left w:val="single" w:sz="4"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90">
    <w:name w:val="xl190"/>
    <w:basedOn w:val="Normalny"/>
    <w:rsid w:val="00AA6717"/>
    <w:pPr>
      <w:pBdr>
        <w:bottom w:val="single" w:sz="8"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91">
    <w:name w:val="xl191"/>
    <w:basedOn w:val="Normalny"/>
    <w:rsid w:val="00AA6717"/>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2">
    <w:name w:val="xl192"/>
    <w:basedOn w:val="Normalny"/>
    <w:rsid w:val="00AA6717"/>
    <w:pPr>
      <w:pBdr>
        <w:top w:val="single" w:sz="4" w:space="0" w:color="auto"/>
        <w:left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3">
    <w:name w:val="xl193"/>
    <w:basedOn w:val="Normalny"/>
    <w:rsid w:val="00AA6717"/>
    <w:pPr>
      <w:pBdr>
        <w:left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4">
    <w:name w:val="xl194"/>
    <w:basedOn w:val="Normalny"/>
    <w:rsid w:val="00AA6717"/>
    <w:pPr>
      <w:pBdr>
        <w:left w:val="single" w:sz="4" w:space="0" w:color="auto"/>
        <w:bottom w:val="single" w:sz="8"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5">
    <w:name w:val="xl195"/>
    <w:basedOn w:val="Normalny"/>
    <w:rsid w:val="00AA6717"/>
    <w:pPr>
      <w:pBdr>
        <w:top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6">
    <w:name w:val="xl196"/>
    <w:basedOn w:val="Normalny"/>
    <w:rsid w:val="00AA6717"/>
    <w:pPr>
      <w:pBdr>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7">
    <w:name w:val="xl197"/>
    <w:basedOn w:val="Normalny"/>
    <w:rsid w:val="00AA6717"/>
    <w:pPr>
      <w:pBdr>
        <w:top w:val="single" w:sz="8" w:space="0" w:color="auto"/>
        <w:left w:val="single" w:sz="8" w:space="0" w:color="auto"/>
        <w:bottom w:val="single" w:sz="4"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98">
    <w:name w:val="xl198"/>
    <w:basedOn w:val="Normalny"/>
    <w:rsid w:val="00AA6717"/>
    <w:pPr>
      <w:pBdr>
        <w:top w:val="single" w:sz="8" w:space="0" w:color="auto"/>
        <w:bottom w:val="single" w:sz="4"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99">
    <w:name w:val="xl199"/>
    <w:basedOn w:val="Normalny"/>
    <w:rsid w:val="00AA6717"/>
    <w:pPr>
      <w:pBdr>
        <w:top w:val="single" w:sz="8" w:space="0" w:color="auto"/>
        <w:bottom w:val="single" w:sz="4" w:space="0" w:color="auto"/>
        <w:right w:val="single" w:sz="8"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00">
    <w:name w:val="xl200"/>
    <w:basedOn w:val="Normalny"/>
    <w:rsid w:val="00AA6717"/>
    <w:pPr>
      <w:pBdr>
        <w:top w:val="single" w:sz="4" w:space="0" w:color="auto"/>
        <w:left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1">
    <w:name w:val="xl201"/>
    <w:basedOn w:val="Normalny"/>
    <w:rsid w:val="00AA6717"/>
    <w:pPr>
      <w:pBdr>
        <w:left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2">
    <w:name w:val="xl202"/>
    <w:basedOn w:val="Normalny"/>
    <w:rsid w:val="00AA6717"/>
    <w:pPr>
      <w:pBdr>
        <w:left w:val="single" w:sz="4" w:space="0" w:color="auto"/>
        <w:bottom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3">
    <w:name w:val="xl203"/>
    <w:basedOn w:val="Normalny"/>
    <w:rsid w:val="00AA6717"/>
    <w:pPr>
      <w:pBdr>
        <w:top w:val="single" w:sz="8" w:space="0" w:color="auto"/>
        <w:left w:val="single" w:sz="8" w:space="0" w:color="auto"/>
        <w:bottom w:val="single" w:sz="4" w:space="0" w:color="auto"/>
      </w:pBdr>
      <w:shd w:val="clear" w:color="CCFFFF" w:fill="CCFFFF"/>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204">
    <w:name w:val="xl204"/>
    <w:basedOn w:val="Normalny"/>
    <w:rsid w:val="00AA6717"/>
    <w:pPr>
      <w:pBdr>
        <w:bottom w:val="single" w:sz="4" w:space="0" w:color="auto"/>
      </w:pBdr>
      <w:shd w:val="clear" w:color="CCFFFF" w:fill="CCFFFF"/>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205">
    <w:name w:val="xl205"/>
    <w:basedOn w:val="Normalny"/>
    <w:rsid w:val="00AA6717"/>
    <w:pPr>
      <w:pBdr>
        <w:top w:val="single" w:sz="8" w:space="0" w:color="auto"/>
        <w:bottom w:val="single" w:sz="4" w:space="0" w:color="auto"/>
        <w:right w:val="single" w:sz="8" w:space="0" w:color="auto"/>
      </w:pBdr>
      <w:shd w:val="clear" w:color="CCFFFF" w:fill="CCFFFF"/>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206">
    <w:name w:val="xl206"/>
    <w:basedOn w:val="Normalny"/>
    <w:rsid w:val="00AA67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7">
    <w:name w:val="xl207"/>
    <w:basedOn w:val="Normalny"/>
    <w:rsid w:val="00AA67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8">
    <w:name w:val="xl208"/>
    <w:basedOn w:val="Normalny"/>
    <w:rsid w:val="00AA6717"/>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9">
    <w:name w:val="xl209"/>
    <w:basedOn w:val="Normalny"/>
    <w:rsid w:val="00AA6717"/>
    <w:pPr>
      <w:pBdr>
        <w:bottom w:val="single" w:sz="8"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10">
    <w:name w:val="xl210"/>
    <w:basedOn w:val="Normalny"/>
    <w:rsid w:val="00AA671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l-PL"/>
    </w:rPr>
  </w:style>
  <w:style w:type="paragraph" w:customStyle="1" w:styleId="xl211">
    <w:name w:val="xl211"/>
    <w:basedOn w:val="Normalny"/>
    <w:rsid w:val="00AA671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l-PL"/>
    </w:rPr>
  </w:style>
  <w:style w:type="paragraph" w:customStyle="1" w:styleId="xl212">
    <w:name w:val="xl212"/>
    <w:basedOn w:val="Normalny"/>
    <w:rsid w:val="00AA6717"/>
    <w:pPr>
      <w:pBdr>
        <w:top w:val="single" w:sz="8" w:space="0" w:color="auto"/>
        <w:left w:val="single" w:sz="4" w:space="0" w:color="auto"/>
        <w:bottom w:val="single" w:sz="4"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3">
    <w:name w:val="xl213"/>
    <w:basedOn w:val="Normalny"/>
    <w:rsid w:val="00AA6717"/>
    <w:pPr>
      <w:pBdr>
        <w:top w:val="single" w:sz="8" w:space="0" w:color="auto"/>
        <w:bottom w:val="single" w:sz="4"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4">
    <w:name w:val="xl214"/>
    <w:basedOn w:val="Normalny"/>
    <w:rsid w:val="00AA6717"/>
    <w:pPr>
      <w:pBdr>
        <w:top w:val="single" w:sz="8" w:space="0" w:color="auto"/>
        <w:bottom w:val="single" w:sz="4" w:space="0" w:color="auto"/>
        <w:right w:val="single" w:sz="8"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5">
    <w:name w:val="xl215"/>
    <w:basedOn w:val="Normalny"/>
    <w:rsid w:val="00AA67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16">
    <w:name w:val="xl216"/>
    <w:basedOn w:val="Normalny"/>
    <w:rsid w:val="00AA6717"/>
    <w:pPr>
      <w:pBdr>
        <w:top w:val="single" w:sz="8" w:space="0" w:color="auto"/>
        <w:left w:val="single" w:sz="8" w:space="0" w:color="auto"/>
        <w:bottom w:val="single" w:sz="4"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7">
    <w:name w:val="xl217"/>
    <w:basedOn w:val="Normalny"/>
    <w:rsid w:val="00AA6717"/>
    <w:pPr>
      <w:pBdr>
        <w:top w:val="single" w:sz="8" w:space="0" w:color="auto"/>
        <w:bottom w:val="single" w:sz="4"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8">
    <w:name w:val="xl218"/>
    <w:basedOn w:val="Normalny"/>
    <w:rsid w:val="00AA67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19">
    <w:name w:val="xl219"/>
    <w:basedOn w:val="Normalny"/>
    <w:rsid w:val="00AA671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20">
    <w:name w:val="xl220"/>
    <w:basedOn w:val="Normalny"/>
    <w:rsid w:val="00AA6717"/>
    <w:pPr>
      <w:pBdr>
        <w:top w:val="single" w:sz="4" w:space="0" w:color="auto"/>
        <w:left w:val="single" w:sz="4" w:space="0" w:color="auto"/>
        <w:bottom w:val="single" w:sz="4" w:space="0" w:color="auto"/>
        <w:right w:val="single" w:sz="4"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21">
    <w:name w:val="xl221"/>
    <w:basedOn w:val="Normalny"/>
    <w:rsid w:val="00AA6717"/>
    <w:pPr>
      <w:pBdr>
        <w:bottom w:val="single" w:sz="4" w:space="0" w:color="auto"/>
        <w:right w:val="single" w:sz="8"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character" w:customStyle="1" w:styleId="WW8Num1z0">
    <w:name w:val="WW8Num1z0"/>
    <w:rsid w:val="00792260"/>
    <w:rPr>
      <w:b/>
      <w:bCs/>
      <w:sz w:val="28"/>
      <w:szCs w:val="28"/>
    </w:rPr>
  </w:style>
  <w:style w:type="paragraph" w:styleId="Tekstpodstawowy">
    <w:name w:val="Body Text"/>
    <w:basedOn w:val="Normalny"/>
    <w:link w:val="TekstpodstawowyZnak"/>
    <w:rsid w:val="00792260"/>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792260"/>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F20957"/>
    <w:rPr>
      <w:sz w:val="16"/>
      <w:szCs w:val="16"/>
    </w:rPr>
  </w:style>
  <w:style w:type="paragraph" w:styleId="Tekstkomentarza">
    <w:name w:val="annotation text"/>
    <w:basedOn w:val="Normalny"/>
    <w:link w:val="TekstkomentarzaZnak"/>
    <w:uiPriority w:val="99"/>
    <w:semiHidden/>
    <w:unhideWhenUsed/>
    <w:rsid w:val="00F209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0957"/>
    <w:rPr>
      <w:sz w:val="20"/>
      <w:szCs w:val="20"/>
    </w:rPr>
  </w:style>
  <w:style w:type="paragraph" w:styleId="Tematkomentarza">
    <w:name w:val="annotation subject"/>
    <w:basedOn w:val="Tekstkomentarza"/>
    <w:next w:val="Tekstkomentarza"/>
    <w:link w:val="TematkomentarzaZnak"/>
    <w:uiPriority w:val="99"/>
    <w:semiHidden/>
    <w:unhideWhenUsed/>
    <w:rsid w:val="00F20957"/>
    <w:rPr>
      <w:b/>
      <w:bCs/>
    </w:rPr>
  </w:style>
  <w:style w:type="character" w:customStyle="1" w:styleId="TematkomentarzaZnak">
    <w:name w:val="Temat komentarza Znak"/>
    <w:basedOn w:val="TekstkomentarzaZnak"/>
    <w:link w:val="Tematkomentarza"/>
    <w:uiPriority w:val="99"/>
    <w:semiHidden/>
    <w:rsid w:val="00F20957"/>
    <w:rPr>
      <w:b/>
      <w:bCs/>
      <w:sz w:val="20"/>
      <w:szCs w:val="20"/>
    </w:rPr>
  </w:style>
  <w:style w:type="paragraph" w:customStyle="1" w:styleId="Default">
    <w:name w:val="Default"/>
    <w:rsid w:val="009B292D"/>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570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70C4"/>
  </w:style>
  <w:style w:type="paragraph" w:styleId="Stopka">
    <w:name w:val="footer"/>
    <w:basedOn w:val="Normalny"/>
    <w:link w:val="StopkaZnak"/>
    <w:uiPriority w:val="99"/>
    <w:unhideWhenUsed/>
    <w:rsid w:val="007570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0C4"/>
  </w:style>
  <w:style w:type="table" w:customStyle="1" w:styleId="Tabela-Siatka1">
    <w:name w:val="Tabela - Siatka1"/>
    <w:basedOn w:val="Standardowy"/>
    <w:next w:val="Tabela-Siatka"/>
    <w:uiPriority w:val="59"/>
    <w:rsid w:val="001656B9"/>
    <w:pPr>
      <w:spacing w:after="0" w:line="240" w:lineRule="auto"/>
      <w:ind w:left="1434" w:right="-505"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6E0F4F"/>
    <w:pPr>
      <w:spacing w:after="0" w:line="240" w:lineRule="auto"/>
      <w:ind w:left="1434" w:right="-505"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57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6B26"/>
    <w:rPr>
      <w:sz w:val="20"/>
      <w:szCs w:val="20"/>
    </w:rPr>
  </w:style>
  <w:style w:type="character" w:styleId="Odwoanieprzypisukocowego">
    <w:name w:val="endnote reference"/>
    <w:basedOn w:val="Domylnaczcionkaakapitu"/>
    <w:uiPriority w:val="99"/>
    <w:semiHidden/>
    <w:unhideWhenUsed/>
    <w:rsid w:val="00576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51">
      <w:bodyDiv w:val="1"/>
      <w:marLeft w:val="0"/>
      <w:marRight w:val="0"/>
      <w:marTop w:val="0"/>
      <w:marBottom w:val="0"/>
      <w:divBdr>
        <w:top w:val="none" w:sz="0" w:space="0" w:color="auto"/>
        <w:left w:val="none" w:sz="0" w:space="0" w:color="auto"/>
        <w:bottom w:val="none" w:sz="0" w:space="0" w:color="auto"/>
        <w:right w:val="none" w:sz="0" w:space="0" w:color="auto"/>
      </w:divBdr>
    </w:div>
    <w:div w:id="73749129">
      <w:bodyDiv w:val="1"/>
      <w:marLeft w:val="0"/>
      <w:marRight w:val="0"/>
      <w:marTop w:val="0"/>
      <w:marBottom w:val="0"/>
      <w:divBdr>
        <w:top w:val="none" w:sz="0" w:space="0" w:color="auto"/>
        <w:left w:val="none" w:sz="0" w:space="0" w:color="auto"/>
        <w:bottom w:val="none" w:sz="0" w:space="0" w:color="auto"/>
        <w:right w:val="none" w:sz="0" w:space="0" w:color="auto"/>
      </w:divBdr>
    </w:div>
    <w:div w:id="135151674">
      <w:bodyDiv w:val="1"/>
      <w:marLeft w:val="0"/>
      <w:marRight w:val="0"/>
      <w:marTop w:val="0"/>
      <w:marBottom w:val="0"/>
      <w:divBdr>
        <w:top w:val="none" w:sz="0" w:space="0" w:color="auto"/>
        <w:left w:val="none" w:sz="0" w:space="0" w:color="auto"/>
        <w:bottom w:val="none" w:sz="0" w:space="0" w:color="auto"/>
        <w:right w:val="none" w:sz="0" w:space="0" w:color="auto"/>
      </w:divBdr>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204100135">
      <w:bodyDiv w:val="1"/>
      <w:marLeft w:val="0"/>
      <w:marRight w:val="0"/>
      <w:marTop w:val="0"/>
      <w:marBottom w:val="0"/>
      <w:divBdr>
        <w:top w:val="none" w:sz="0" w:space="0" w:color="auto"/>
        <w:left w:val="none" w:sz="0" w:space="0" w:color="auto"/>
        <w:bottom w:val="none" w:sz="0" w:space="0" w:color="auto"/>
        <w:right w:val="none" w:sz="0" w:space="0" w:color="auto"/>
      </w:divBdr>
    </w:div>
    <w:div w:id="271593140">
      <w:bodyDiv w:val="1"/>
      <w:marLeft w:val="0"/>
      <w:marRight w:val="0"/>
      <w:marTop w:val="0"/>
      <w:marBottom w:val="0"/>
      <w:divBdr>
        <w:top w:val="none" w:sz="0" w:space="0" w:color="auto"/>
        <w:left w:val="none" w:sz="0" w:space="0" w:color="auto"/>
        <w:bottom w:val="none" w:sz="0" w:space="0" w:color="auto"/>
        <w:right w:val="none" w:sz="0" w:space="0" w:color="auto"/>
      </w:divBdr>
    </w:div>
    <w:div w:id="283772466">
      <w:bodyDiv w:val="1"/>
      <w:marLeft w:val="0"/>
      <w:marRight w:val="0"/>
      <w:marTop w:val="0"/>
      <w:marBottom w:val="0"/>
      <w:divBdr>
        <w:top w:val="none" w:sz="0" w:space="0" w:color="auto"/>
        <w:left w:val="none" w:sz="0" w:space="0" w:color="auto"/>
        <w:bottom w:val="none" w:sz="0" w:space="0" w:color="auto"/>
        <w:right w:val="none" w:sz="0" w:space="0" w:color="auto"/>
      </w:divBdr>
    </w:div>
    <w:div w:id="289366927">
      <w:bodyDiv w:val="1"/>
      <w:marLeft w:val="0"/>
      <w:marRight w:val="0"/>
      <w:marTop w:val="0"/>
      <w:marBottom w:val="0"/>
      <w:divBdr>
        <w:top w:val="none" w:sz="0" w:space="0" w:color="auto"/>
        <w:left w:val="none" w:sz="0" w:space="0" w:color="auto"/>
        <w:bottom w:val="none" w:sz="0" w:space="0" w:color="auto"/>
        <w:right w:val="none" w:sz="0" w:space="0" w:color="auto"/>
      </w:divBdr>
    </w:div>
    <w:div w:id="388112078">
      <w:bodyDiv w:val="1"/>
      <w:marLeft w:val="0"/>
      <w:marRight w:val="0"/>
      <w:marTop w:val="0"/>
      <w:marBottom w:val="0"/>
      <w:divBdr>
        <w:top w:val="none" w:sz="0" w:space="0" w:color="auto"/>
        <w:left w:val="none" w:sz="0" w:space="0" w:color="auto"/>
        <w:bottom w:val="none" w:sz="0" w:space="0" w:color="auto"/>
        <w:right w:val="none" w:sz="0" w:space="0" w:color="auto"/>
      </w:divBdr>
    </w:div>
    <w:div w:id="395664373">
      <w:bodyDiv w:val="1"/>
      <w:marLeft w:val="0"/>
      <w:marRight w:val="0"/>
      <w:marTop w:val="0"/>
      <w:marBottom w:val="0"/>
      <w:divBdr>
        <w:top w:val="none" w:sz="0" w:space="0" w:color="auto"/>
        <w:left w:val="none" w:sz="0" w:space="0" w:color="auto"/>
        <w:bottom w:val="none" w:sz="0" w:space="0" w:color="auto"/>
        <w:right w:val="none" w:sz="0" w:space="0" w:color="auto"/>
      </w:divBdr>
    </w:div>
    <w:div w:id="549801726">
      <w:bodyDiv w:val="1"/>
      <w:marLeft w:val="0"/>
      <w:marRight w:val="0"/>
      <w:marTop w:val="0"/>
      <w:marBottom w:val="0"/>
      <w:divBdr>
        <w:top w:val="none" w:sz="0" w:space="0" w:color="auto"/>
        <w:left w:val="none" w:sz="0" w:space="0" w:color="auto"/>
        <w:bottom w:val="none" w:sz="0" w:space="0" w:color="auto"/>
        <w:right w:val="none" w:sz="0" w:space="0" w:color="auto"/>
      </w:divBdr>
    </w:div>
    <w:div w:id="610236834">
      <w:bodyDiv w:val="1"/>
      <w:marLeft w:val="0"/>
      <w:marRight w:val="0"/>
      <w:marTop w:val="0"/>
      <w:marBottom w:val="0"/>
      <w:divBdr>
        <w:top w:val="none" w:sz="0" w:space="0" w:color="auto"/>
        <w:left w:val="none" w:sz="0" w:space="0" w:color="auto"/>
        <w:bottom w:val="none" w:sz="0" w:space="0" w:color="auto"/>
        <w:right w:val="none" w:sz="0" w:space="0" w:color="auto"/>
      </w:divBdr>
    </w:div>
    <w:div w:id="620694174">
      <w:bodyDiv w:val="1"/>
      <w:marLeft w:val="0"/>
      <w:marRight w:val="0"/>
      <w:marTop w:val="0"/>
      <w:marBottom w:val="0"/>
      <w:divBdr>
        <w:top w:val="none" w:sz="0" w:space="0" w:color="auto"/>
        <w:left w:val="none" w:sz="0" w:space="0" w:color="auto"/>
        <w:bottom w:val="none" w:sz="0" w:space="0" w:color="auto"/>
        <w:right w:val="none" w:sz="0" w:space="0" w:color="auto"/>
      </w:divBdr>
    </w:div>
    <w:div w:id="727538630">
      <w:bodyDiv w:val="1"/>
      <w:marLeft w:val="0"/>
      <w:marRight w:val="0"/>
      <w:marTop w:val="0"/>
      <w:marBottom w:val="0"/>
      <w:divBdr>
        <w:top w:val="none" w:sz="0" w:space="0" w:color="auto"/>
        <w:left w:val="none" w:sz="0" w:space="0" w:color="auto"/>
        <w:bottom w:val="none" w:sz="0" w:space="0" w:color="auto"/>
        <w:right w:val="none" w:sz="0" w:space="0" w:color="auto"/>
      </w:divBdr>
    </w:div>
    <w:div w:id="731388414">
      <w:bodyDiv w:val="1"/>
      <w:marLeft w:val="0"/>
      <w:marRight w:val="0"/>
      <w:marTop w:val="0"/>
      <w:marBottom w:val="0"/>
      <w:divBdr>
        <w:top w:val="none" w:sz="0" w:space="0" w:color="auto"/>
        <w:left w:val="none" w:sz="0" w:space="0" w:color="auto"/>
        <w:bottom w:val="none" w:sz="0" w:space="0" w:color="auto"/>
        <w:right w:val="none" w:sz="0" w:space="0" w:color="auto"/>
      </w:divBdr>
    </w:div>
    <w:div w:id="759570858">
      <w:bodyDiv w:val="1"/>
      <w:marLeft w:val="0"/>
      <w:marRight w:val="0"/>
      <w:marTop w:val="0"/>
      <w:marBottom w:val="0"/>
      <w:divBdr>
        <w:top w:val="none" w:sz="0" w:space="0" w:color="auto"/>
        <w:left w:val="none" w:sz="0" w:space="0" w:color="auto"/>
        <w:bottom w:val="none" w:sz="0" w:space="0" w:color="auto"/>
        <w:right w:val="none" w:sz="0" w:space="0" w:color="auto"/>
      </w:divBdr>
    </w:div>
    <w:div w:id="791632388">
      <w:bodyDiv w:val="1"/>
      <w:marLeft w:val="0"/>
      <w:marRight w:val="0"/>
      <w:marTop w:val="0"/>
      <w:marBottom w:val="0"/>
      <w:divBdr>
        <w:top w:val="none" w:sz="0" w:space="0" w:color="auto"/>
        <w:left w:val="none" w:sz="0" w:space="0" w:color="auto"/>
        <w:bottom w:val="none" w:sz="0" w:space="0" w:color="auto"/>
        <w:right w:val="none" w:sz="0" w:space="0" w:color="auto"/>
      </w:divBdr>
    </w:div>
    <w:div w:id="891111769">
      <w:bodyDiv w:val="1"/>
      <w:marLeft w:val="0"/>
      <w:marRight w:val="0"/>
      <w:marTop w:val="0"/>
      <w:marBottom w:val="0"/>
      <w:divBdr>
        <w:top w:val="none" w:sz="0" w:space="0" w:color="auto"/>
        <w:left w:val="none" w:sz="0" w:space="0" w:color="auto"/>
        <w:bottom w:val="none" w:sz="0" w:space="0" w:color="auto"/>
        <w:right w:val="none" w:sz="0" w:space="0" w:color="auto"/>
      </w:divBdr>
    </w:div>
    <w:div w:id="897784284">
      <w:bodyDiv w:val="1"/>
      <w:marLeft w:val="0"/>
      <w:marRight w:val="0"/>
      <w:marTop w:val="0"/>
      <w:marBottom w:val="0"/>
      <w:divBdr>
        <w:top w:val="none" w:sz="0" w:space="0" w:color="auto"/>
        <w:left w:val="none" w:sz="0" w:space="0" w:color="auto"/>
        <w:bottom w:val="none" w:sz="0" w:space="0" w:color="auto"/>
        <w:right w:val="none" w:sz="0" w:space="0" w:color="auto"/>
      </w:divBdr>
    </w:div>
    <w:div w:id="918169889">
      <w:bodyDiv w:val="1"/>
      <w:marLeft w:val="0"/>
      <w:marRight w:val="0"/>
      <w:marTop w:val="0"/>
      <w:marBottom w:val="0"/>
      <w:divBdr>
        <w:top w:val="none" w:sz="0" w:space="0" w:color="auto"/>
        <w:left w:val="none" w:sz="0" w:space="0" w:color="auto"/>
        <w:bottom w:val="none" w:sz="0" w:space="0" w:color="auto"/>
        <w:right w:val="none" w:sz="0" w:space="0" w:color="auto"/>
      </w:divBdr>
    </w:div>
    <w:div w:id="962075493">
      <w:bodyDiv w:val="1"/>
      <w:marLeft w:val="0"/>
      <w:marRight w:val="0"/>
      <w:marTop w:val="0"/>
      <w:marBottom w:val="0"/>
      <w:divBdr>
        <w:top w:val="none" w:sz="0" w:space="0" w:color="auto"/>
        <w:left w:val="none" w:sz="0" w:space="0" w:color="auto"/>
        <w:bottom w:val="none" w:sz="0" w:space="0" w:color="auto"/>
        <w:right w:val="none" w:sz="0" w:space="0" w:color="auto"/>
      </w:divBdr>
    </w:div>
    <w:div w:id="966542001">
      <w:bodyDiv w:val="1"/>
      <w:marLeft w:val="0"/>
      <w:marRight w:val="0"/>
      <w:marTop w:val="0"/>
      <w:marBottom w:val="0"/>
      <w:divBdr>
        <w:top w:val="none" w:sz="0" w:space="0" w:color="auto"/>
        <w:left w:val="none" w:sz="0" w:space="0" w:color="auto"/>
        <w:bottom w:val="none" w:sz="0" w:space="0" w:color="auto"/>
        <w:right w:val="none" w:sz="0" w:space="0" w:color="auto"/>
      </w:divBdr>
    </w:div>
    <w:div w:id="971865061">
      <w:bodyDiv w:val="1"/>
      <w:marLeft w:val="0"/>
      <w:marRight w:val="0"/>
      <w:marTop w:val="0"/>
      <w:marBottom w:val="0"/>
      <w:divBdr>
        <w:top w:val="none" w:sz="0" w:space="0" w:color="auto"/>
        <w:left w:val="none" w:sz="0" w:space="0" w:color="auto"/>
        <w:bottom w:val="none" w:sz="0" w:space="0" w:color="auto"/>
        <w:right w:val="none" w:sz="0" w:space="0" w:color="auto"/>
      </w:divBdr>
    </w:div>
    <w:div w:id="1010373069">
      <w:bodyDiv w:val="1"/>
      <w:marLeft w:val="0"/>
      <w:marRight w:val="0"/>
      <w:marTop w:val="0"/>
      <w:marBottom w:val="0"/>
      <w:divBdr>
        <w:top w:val="none" w:sz="0" w:space="0" w:color="auto"/>
        <w:left w:val="none" w:sz="0" w:space="0" w:color="auto"/>
        <w:bottom w:val="none" w:sz="0" w:space="0" w:color="auto"/>
        <w:right w:val="none" w:sz="0" w:space="0" w:color="auto"/>
      </w:divBdr>
    </w:div>
    <w:div w:id="1018046377">
      <w:bodyDiv w:val="1"/>
      <w:marLeft w:val="0"/>
      <w:marRight w:val="0"/>
      <w:marTop w:val="0"/>
      <w:marBottom w:val="0"/>
      <w:divBdr>
        <w:top w:val="none" w:sz="0" w:space="0" w:color="auto"/>
        <w:left w:val="none" w:sz="0" w:space="0" w:color="auto"/>
        <w:bottom w:val="none" w:sz="0" w:space="0" w:color="auto"/>
        <w:right w:val="none" w:sz="0" w:space="0" w:color="auto"/>
      </w:divBdr>
    </w:div>
    <w:div w:id="1023554313">
      <w:bodyDiv w:val="1"/>
      <w:marLeft w:val="0"/>
      <w:marRight w:val="0"/>
      <w:marTop w:val="0"/>
      <w:marBottom w:val="0"/>
      <w:divBdr>
        <w:top w:val="none" w:sz="0" w:space="0" w:color="auto"/>
        <w:left w:val="none" w:sz="0" w:space="0" w:color="auto"/>
        <w:bottom w:val="none" w:sz="0" w:space="0" w:color="auto"/>
        <w:right w:val="none" w:sz="0" w:space="0" w:color="auto"/>
      </w:divBdr>
    </w:div>
    <w:div w:id="1132988312">
      <w:bodyDiv w:val="1"/>
      <w:marLeft w:val="0"/>
      <w:marRight w:val="0"/>
      <w:marTop w:val="0"/>
      <w:marBottom w:val="0"/>
      <w:divBdr>
        <w:top w:val="none" w:sz="0" w:space="0" w:color="auto"/>
        <w:left w:val="none" w:sz="0" w:space="0" w:color="auto"/>
        <w:bottom w:val="none" w:sz="0" w:space="0" w:color="auto"/>
        <w:right w:val="none" w:sz="0" w:space="0" w:color="auto"/>
      </w:divBdr>
    </w:div>
    <w:div w:id="1162161879">
      <w:bodyDiv w:val="1"/>
      <w:marLeft w:val="0"/>
      <w:marRight w:val="0"/>
      <w:marTop w:val="0"/>
      <w:marBottom w:val="0"/>
      <w:divBdr>
        <w:top w:val="none" w:sz="0" w:space="0" w:color="auto"/>
        <w:left w:val="none" w:sz="0" w:space="0" w:color="auto"/>
        <w:bottom w:val="none" w:sz="0" w:space="0" w:color="auto"/>
        <w:right w:val="none" w:sz="0" w:space="0" w:color="auto"/>
      </w:divBdr>
    </w:div>
    <w:div w:id="1168325476">
      <w:bodyDiv w:val="1"/>
      <w:marLeft w:val="0"/>
      <w:marRight w:val="0"/>
      <w:marTop w:val="0"/>
      <w:marBottom w:val="0"/>
      <w:divBdr>
        <w:top w:val="none" w:sz="0" w:space="0" w:color="auto"/>
        <w:left w:val="none" w:sz="0" w:space="0" w:color="auto"/>
        <w:bottom w:val="none" w:sz="0" w:space="0" w:color="auto"/>
        <w:right w:val="none" w:sz="0" w:space="0" w:color="auto"/>
      </w:divBdr>
    </w:div>
    <w:div w:id="1239440269">
      <w:bodyDiv w:val="1"/>
      <w:marLeft w:val="0"/>
      <w:marRight w:val="0"/>
      <w:marTop w:val="0"/>
      <w:marBottom w:val="0"/>
      <w:divBdr>
        <w:top w:val="none" w:sz="0" w:space="0" w:color="auto"/>
        <w:left w:val="none" w:sz="0" w:space="0" w:color="auto"/>
        <w:bottom w:val="none" w:sz="0" w:space="0" w:color="auto"/>
        <w:right w:val="none" w:sz="0" w:space="0" w:color="auto"/>
      </w:divBdr>
    </w:div>
    <w:div w:id="1268349742">
      <w:bodyDiv w:val="1"/>
      <w:marLeft w:val="0"/>
      <w:marRight w:val="0"/>
      <w:marTop w:val="0"/>
      <w:marBottom w:val="0"/>
      <w:divBdr>
        <w:top w:val="none" w:sz="0" w:space="0" w:color="auto"/>
        <w:left w:val="none" w:sz="0" w:space="0" w:color="auto"/>
        <w:bottom w:val="none" w:sz="0" w:space="0" w:color="auto"/>
        <w:right w:val="none" w:sz="0" w:space="0" w:color="auto"/>
      </w:divBdr>
    </w:div>
    <w:div w:id="1299872659">
      <w:bodyDiv w:val="1"/>
      <w:marLeft w:val="0"/>
      <w:marRight w:val="0"/>
      <w:marTop w:val="0"/>
      <w:marBottom w:val="0"/>
      <w:divBdr>
        <w:top w:val="none" w:sz="0" w:space="0" w:color="auto"/>
        <w:left w:val="none" w:sz="0" w:space="0" w:color="auto"/>
        <w:bottom w:val="none" w:sz="0" w:space="0" w:color="auto"/>
        <w:right w:val="none" w:sz="0" w:space="0" w:color="auto"/>
      </w:divBdr>
    </w:div>
    <w:div w:id="1379547121">
      <w:bodyDiv w:val="1"/>
      <w:marLeft w:val="0"/>
      <w:marRight w:val="0"/>
      <w:marTop w:val="0"/>
      <w:marBottom w:val="0"/>
      <w:divBdr>
        <w:top w:val="none" w:sz="0" w:space="0" w:color="auto"/>
        <w:left w:val="none" w:sz="0" w:space="0" w:color="auto"/>
        <w:bottom w:val="none" w:sz="0" w:space="0" w:color="auto"/>
        <w:right w:val="none" w:sz="0" w:space="0" w:color="auto"/>
      </w:divBdr>
    </w:div>
    <w:div w:id="1407803511">
      <w:bodyDiv w:val="1"/>
      <w:marLeft w:val="0"/>
      <w:marRight w:val="0"/>
      <w:marTop w:val="0"/>
      <w:marBottom w:val="0"/>
      <w:divBdr>
        <w:top w:val="none" w:sz="0" w:space="0" w:color="auto"/>
        <w:left w:val="none" w:sz="0" w:space="0" w:color="auto"/>
        <w:bottom w:val="none" w:sz="0" w:space="0" w:color="auto"/>
        <w:right w:val="none" w:sz="0" w:space="0" w:color="auto"/>
      </w:divBdr>
    </w:div>
    <w:div w:id="1436049276">
      <w:bodyDiv w:val="1"/>
      <w:marLeft w:val="0"/>
      <w:marRight w:val="0"/>
      <w:marTop w:val="0"/>
      <w:marBottom w:val="0"/>
      <w:divBdr>
        <w:top w:val="none" w:sz="0" w:space="0" w:color="auto"/>
        <w:left w:val="none" w:sz="0" w:space="0" w:color="auto"/>
        <w:bottom w:val="none" w:sz="0" w:space="0" w:color="auto"/>
        <w:right w:val="none" w:sz="0" w:space="0" w:color="auto"/>
      </w:divBdr>
    </w:div>
    <w:div w:id="1536964318">
      <w:bodyDiv w:val="1"/>
      <w:marLeft w:val="0"/>
      <w:marRight w:val="0"/>
      <w:marTop w:val="0"/>
      <w:marBottom w:val="0"/>
      <w:divBdr>
        <w:top w:val="none" w:sz="0" w:space="0" w:color="auto"/>
        <w:left w:val="none" w:sz="0" w:space="0" w:color="auto"/>
        <w:bottom w:val="none" w:sz="0" w:space="0" w:color="auto"/>
        <w:right w:val="none" w:sz="0" w:space="0" w:color="auto"/>
      </w:divBdr>
    </w:div>
    <w:div w:id="1573394867">
      <w:bodyDiv w:val="1"/>
      <w:marLeft w:val="0"/>
      <w:marRight w:val="0"/>
      <w:marTop w:val="0"/>
      <w:marBottom w:val="0"/>
      <w:divBdr>
        <w:top w:val="none" w:sz="0" w:space="0" w:color="auto"/>
        <w:left w:val="none" w:sz="0" w:space="0" w:color="auto"/>
        <w:bottom w:val="none" w:sz="0" w:space="0" w:color="auto"/>
        <w:right w:val="none" w:sz="0" w:space="0" w:color="auto"/>
      </w:divBdr>
    </w:div>
    <w:div w:id="1632709867">
      <w:bodyDiv w:val="1"/>
      <w:marLeft w:val="0"/>
      <w:marRight w:val="0"/>
      <w:marTop w:val="0"/>
      <w:marBottom w:val="0"/>
      <w:divBdr>
        <w:top w:val="none" w:sz="0" w:space="0" w:color="auto"/>
        <w:left w:val="none" w:sz="0" w:space="0" w:color="auto"/>
        <w:bottom w:val="none" w:sz="0" w:space="0" w:color="auto"/>
        <w:right w:val="none" w:sz="0" w:space="0" w:color="auto"/>
      </w:divBdr>
    </w:div>
    <w:div w:id="1635327073">
      <w:bodyDiv w:val="1"/>
      <w:marLeft w:val="0"/>
      <w:marRight w:val="0"/>
      <w:marTop w:val="0"/>
      <w:marBottom w:val="0"/>
      <w:divBdr>
        <w:top w:val="none" w:sz="0" w:space="0" w:color="auto"/>
        <w:left w:val="none" w:sz="0" w:space="0" w:color="auto"/>
        <w:bottom w:val="none" w:sz="0" w:space="0" w:color="auto"/>
        <w:right w:val="none" w:sz="0" w:space="0" w:color="auto"/>
      </w:divBdr>
    </w:div>
    <w:div w:id="1820002849">
      <w:bodyDiv w:val="1"/>
      <w:marLeft w:val="0"/>
      <w:marRight w:val="0"/>
      <w:marTop w:val="0"/>
      <w:marBottom w:val="0"/>
      <w:divBdr>
        <w:top w:val="none" w:sz="0" w:space="0" w:color="auto"/>
        <w:left w:val="none" w:sz="0" w:space="0" w:color="auto"/>
        <w:bottom w:val="none" w:sz="0" w:space="0" w:color="auto"/>
        <w:right w:val="none" w:sz="0" w:space="0" w:color="auto"/>
      </w:divBdr>
    </w:div>
    <w:div w:id="1890796979">
      <w:bodyDiv w:val="1"/>
      <w:marLeft w:val="0"/>
      <w:marRight w:val="0"/>
      <w:marTop w:val="0"/>
      <w:marBottom w:val="0"/>
      <w:divBdr>
        <w:top w:val="none" w:sz="0" w:space="0" w:color="auto"/>
        <w:left w:val="none" w:sz="0" w:space="0" w:color="auto"/>
        <w:bottom w:val="none" w:sz="0" w:space="0" w:color="auto"/>
        <w:right w:val="none" w:sz="0" w:space="0" w:color="auto"/>
      </w:divBdr>
    </w:div>
    <w:div w:id="1911690464">
      <w:bodyDiv w:val="1"/>
      <w:marLeft w:val="0"/>
      <w:marRight w:val="0"/>
      <w:marTop w:val="0"/>
      <w:marBottom w:val="0"/>
      <w:divBdr>
        <w:top w:val="none" w:sz="0" w:space="0" w:color="auto"/>
        <w:left w:val="none" w:sz="0" w:space="0" w:color="auto"/>
        <w:bottom w:val="none" w:sz="0" w:space="0" w:color="auto"/>
        <w:right w:val="none" w:sz="0" w:space="0" w:color="auto"/>
      </w:divBdr>
    </w:div>
    <w:div w:id="2033262708">
      <w:bodyDiv w:val="1"/>
      <w:marLeft w:val="0"/>
      <w:marRight w:val="0"/>
      <w:marTop w:val="0"/>
      <w:marBottom w:val="0"/>
      <w:divBdr>
        <w:top w:val="none" w:sz="0" w:space="0" w:color="auto"/>
        <w:left w:val="none" w:sz="0" w:space="0" w:color="auto"/>
        <w:bottom w:val="none" w:sz="0" w:space="0" w:color="auto"/>
        <w:right w:val="none" w:sz="0" w:space="0" w:color="auto"/>
      </w:divBdr>
    </w:div>
    <w:div w:id="2077124841">
      <w:bodyDiv w:val="1"/>
      <w:marLeft w:val="0"/>
      <w:marRight w:val="0"/>
      <w:marTop w:val="0"/>
      <w:marBottom w:val="0"/>
      <w:divBdr>
        <w:top w:val="none" w:sz="0" w:space="0" w:color="auto"/>
        <w:left w:val="none" w:sz="0" w:space="0" w:color="auto"/>
        <w:bottom w:val="none" w:sz="0" w:space="0" w:color="auto"/>
        <w:right w:val="none" w:sz="0" w:space="0" w:color="auto"/>
      </w:divBdr>
    </w:div>
    <w:div w:id="20819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podegrodz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EACC5-F120-4459-A3D7-2CFDFE40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24</Pages>
  <Words>9661</Words>
  <Characters>57966</Characters>
  <Application>Microsoft Office Word</Application>
  <DocSecurity>0</DocSecurity>
  <Lines>483</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magdalena.kulak</dc:creator>
  <cp:keywords/>
  <dc:description/>
  <cp:lastModifiedBy>Magdalena Konstanty</cp:lastModifiedBy>
  <cp:revision>16</cp:revision>
  <cp:lastPrinted>2019-07-25T06:52:00Z</cp:lastPrinted>
  <dcterms:created xsi:type="dcterms:W3CDTF">2020-05-28T08:58:00Z</dcterms:created>
  <dcterms:modified xsi:type="dcterms:W3CDTF">2020-05-29T08:44:00Z</dcterms:modified>
</cp:coreProperties>
</file>